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autoSpaceDE/>
        <w:autoSpaceDN/>
        <w:spacing w:line="800" w:lineRule="exact"/>
        <w:ind w:firstLine="513" w:firstLineChars="100"/>
        <w:jc w:val="both"/>
        <w:rPr>
          <w:rStyle w:val="13"/>
          <w:rFonts w:ascii="方正小标宋简体" w:eastAsia="方正小标宋简体"/>
          <w:b/>
          <w:bCs/>
          <w:color w:val="FF0000"/>
          <w:w w:val="75"/>
          <w:kern w:val="2"/>
          <w:sz w:val="68"/>
          <w:szCs w:val="68"/>
          <w:lang w:val="en-US" w:bidi="ar-SA"/>
        </w:rPr>
      </w:pPr>
      <w:r>
        <w:rPr>
          <w:rStyle w:val="13"/>
          <w:rFonts w:ascii="方正小标宋简体" w:eastAsia="方正小标宋简体"/>
          <w:b/>
          <w:bCs/>
          <w:color w:val="FF0000"/>
          <w:w w:val="75"/>
          <w:kern w:val="2"/>
          <w:sz w:val="68"/>
          <w:szCs w:val="68"/>
          <w:lang w:val="en-US" w:bidi="ar-SA"/>
        </w:rPr>
        <w:t>共青团湖南理工职业技术学院委员会</w:t>
      </w:r>
    </w:p>
    <w:p>
      <w:pPr>
        <w:spacing w:line="300" w:lineRule="exact"/>
        <w:jc w:val="center"/>
        <w:rPr>
          <w:rStyle w:val="13"/>
        </w:rPr>
      </w:pPr>
    </w:p>
    <w:p>
      <w:pPr>
        <w:jc w:val="center"/>
        <w:rPr>
          <w:rFonts w:ascii="仿宋_GB2312" w:hAnsi="仿宋" w:eastAsia="仿宋_GB2312" w:cs="仿宋"/>
          <w:sz w:val="30"/>
          <w:szCs w:val="30"/>
        </w:rPr>
      </w:pPr>
      <w:r>
        <w:rPr>
          <w:rFonts w:hint="eastAsia" w:ascii="仿宋_GB2312" w:hAnsi="仿宋" w:eastAsia="仿宋_GB2312" w:cs="仿宋"/>
          <w:sz w:val="30"/>
          <w:szCs w:val="30"/>
        </w:rPr>
        <w:t>湘理职院团[2021]</w:t>
      </w:r>
      <w:r>
        <w:rPr>
          <w:rFonts w:hint="eastAsia" w:ascii="仿宋_GB2312" w:hAnsi="仿宋" w:eastAsia="仿宋_GB2312" w:cs="仿宋"/>
          <w:sz w:val="30"/>
          <w:szCs w:val="30"/>
          <w:lang w:val="en-US"/>
        </w:rPr>
        <w:t>2</w:t>
      </w:r>
      <w:r>
        <w:rPr>
          <w:rFonts w:hint="eastAsia" w:ascii="仿宋_GB2312" w:hAnsi="仿宋" w:eastAsia="仿宋_GB2312" w:cs="仿宋"/>
          <w:sz w:val="30"/>
          <w:szCs w:val="30"/>
        </w:rPr>
        <w:t>号</w:t>
      </w:r>
    </w:p>
    <w:p>
      <w:pPr>
        <w:rPr>
          <w:sz w:val="20"/>
        </w:rPr>
      </w:pPr>
    </w:p>
    <w:p>
      <w:pPr>
        <w:widowControl/>
        <w:jc w:val="center"/>
        <w:rPr>
          <w:rFonts w:ascii="方正小标宋简体" w:eastAsia="方正小标宋简体"/>
          <w:sz w:val="44"/>
          <w:szCs w:val="44"/>
          <w:lang w:val="en-US"/>
        </w:rPr>
      </w:pPr>
      <w:r>
        <w:rPr>
          <w:rFonts w:hint="eastAsia" w:ascii="方正小标宋简体" w:eastAsia="方正小标宋简体"/>
          <w:sz w:val="44"/>
          <w:szCs w:val="44"/>
        </w:rPr>
        <w:t>关于组织开展第十</w:t>
      </w:r>
      <w:r>
        <w:rPr>
          <w:rFonts w:hint="eastAsia" w:ascii="方正小标宋简体" w:eastAsia="方正小标宋简体"/>
          <w:sz w:val="44"/>
          <w:szCs w:val="44"/>
          <w:lang w:val="en-US"/>
        </w:rPr>
        <w:t>四</w:t>
      </w:r>
      <w:r>
        <w:rPr>
          <w:rFonts w:hint="eastAsia" w:ascii="方正小标宋简体" w:eastAsia="方正小标宋简体"/>
          <w:sz w:val="44"/>
          <w:szCs w:val="44"/>
        </w:rPr>
        <w:t>届“挑战杯”</w:t>
      </w:r>
      <w:r>
        <w:rPr>
          <w:rFonts w:hint="eastAsia" w:ascii="方正小标宋简体" w:eastAsia="方正小标宋简体"/>
          <w:sz w:val="44"/>
          <w:szCs w:val="44"/>
          <w:lang w:val="en-US"/>
        </w:rPr>
        <w:t>湖南省大学生课外</w:t>
      </w:r>
      <w:r>
        <w:rPr>
          <w:rFonts w:ascii="方正小标宋简体" w:eastAsia="方正小标宋简体"/>
          <w:sz w:val="44"/>
          <w:szCs w:val="44"/>
          <w:lang w:val="en-US"/>
        </w:rPr>
        <w:t>学术科技作品竞赛</w:t>
      </w:r>
      <w:r>
        <w:rPr>
          <w:rFonts w:hint="eastAsia" w:ascii="方正小标宋简体" w:eastAsia="方正小标宋简体"/>
          <w:sz w:val="44"/>
          <w:szCs w:val="44"/>
          <w:lang w:val="en-US"/>
        </w:rPr>
        <w:t>校赛的通知</w:t>
      </w:r>
    </w:p>
    <w:p>
      <w:pPr>
        <w:spacing w:line="480" w:lineRule="auto"/>
        <w:rPr>
          <w:rFonts w:ascii="仿宋_GB2312" w:eastAsia="仿宋_GB2312" w:hAnsiTheme="minorEastAsia" w:cstheme="minorEastAsia"/>
          <w:sz w:val="32"/>
          <w:szCs w:val="32"/>
        </w:rPr>
      </w:pPr>
    </w:p>
    <w:p>
      <w:pPr>
        <w:spacing w:line="600" w:lineRule="exac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各二级学院：</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为深入贯彻党的十九届五中全会精神，进一步引导广大学生努力培养科学精神和科学态度，积极学习科学知识和科学方法，踊跃投身创新驱动发展战略，为促进科技自立自强、加快建设科技强国贡献青春力量，我院将组织第十</w:t>
      </w:r>
      <w:r>
        <w:rPr>
          <w:rFonts w:hint="eastAsia" w:ascii="仿宋_GB2312" w:eastAsia="仿宋_GB2312" w:hAnsiTheme="minorEastAsia" w:cstheme="minorEastAsia"/>
          <w:sz w:val="32"/>
          <w:szCs w:val="32"/>
          <w:lang w:val="en-US"/>
        </w:rPr>
        <w:t>四</w:t>
      </w:r>
      <w:r>
        <w:rPr>
          <w:rFonts w:hint="eastAsia" w:ascii="仿宋_GB2312" w:eastAsia="仿宋_GB2312" w:hAnsiTheme="minorEastAsia" w:cstheme="minorEastAsia"/>
          <w:sz w:val="32"/>
          <w:szCs w:val="32"/>
        </w:rPr>
        <w:t>届“挑战杯”</w:t>
      </w:r>
      <w:r>
        <w:rPr>
          <w:rFonts w:hint="eastAsia" w:ascii="仿宋_GB2312" w:eastAsia="仿宋_GB2312" w:hAnsiTheme="minorEastAsia" w:cstheme="minorEastAsia"/>
          <w:sz w:val="32"/>
          <w:szCs w:val="32"/>
          <w:lang w:val="en-US"/>
        </w:rPr>
        <w:t>湖南省大学生</w:t>
      </w:r>
      <w:r>
        <w:rPr>
          <w:rFonts w:hint="eastAsia" w:ascii="仿宋_GB2312" w:eastAsia="仿宋_GB2312" w:hAnsiTheme="minorEastAsia" w:cstheme="minorEastAsia"/>
          <w:sz w:val="32"/>
          <w:szCs w:val="32"/>
        </w:rPr>
        <w:t>课外学术科技作品竞赛校赛。校赛按照</w:t>
      </w:r>
      <w:r>
        <w:rPr>
          <w:rFonts w:hint="eastAsia" w:ascii="仿宋_GB2312" w:eastAsia="仿宋_GB2312" w:hAnsiTheme="minorEastAsia" w:cstheme="minorEastAsia"/>
          <w:sz w:val="32"/>
          <w:szCs w:val="32"/>
          <w:lang w:val="en-US"/>
        </w:rPr>
        <w:t>湖南省</w:t>
      </w:r>
      <w:r>
        <w:rPr>
          <w:rFonts w:hint="eastAsia" w:ascii="仿宋_GB2312" w:eastAsia="仿宋_GB2312" w:hAnsiTheme="minorEastAsia" w:cstheme="minorEastAsia"/>
          <w:sz w:val="32"/>
          <w:szCs w:val="32"/>
        </w:rPr>
        <w:t>比赛规则进行，请各二级学院组织发动学生积极申报，于3月26日12:00之前由作品指导老师上传申报书盲评版至学校科研管理平台（http：//172.16.80.240），</w:t>
      </w:r>
      <w:r>
        <w:fldChar w:fldCharType="begin"/>
      </w:r>
      <w:r>
        <w:instrText xml:space="preserve"> HYPERLINK "mailto:其余材料提交至178688456@qq.com" </w:instrText>
      </w:r>
      <w:r>
        <w:fldChar w:fldCharType="separate"/>
      </w:r>
      <w:r>
        <w:rPr>
          <w:rStyle w:val="9"/>
          <w:rFonts w:hint="eastAsia" w:ascii="仿宋_GB2312" w:eastAsia="仿宋_GB2312" w:hAnsiTheme="minorEastAsia" w:cstheme="minorEastAsia"/>
          <w:sz w:val="32"/>
          <w:szCs w:val="32"/>
        </w:rPr>
        <w:t>其余材料提交至178688456@qq.com</w:t>
      </w:r>
      <w:r>
        <w:rPr>
          <w:rStyle w:val="9"/>
          <w:rFonts w:hint="eastAsia" w:ascii="仿宋_GB2312" w:eastAsia="仿宋_GB2312" w:hAnsiTheme="minorEastAsia" w:cstheme="minorEastAsia"/>
          <w:sz w:val="32"/>
          <w:szCs w:val="32"/>
        </w:rPr>
        <w:fldChar w:fldCharType="end"/>
      </w:r>
      <w:r>
        <w:rPr>
          <w:rFonts w:hint="eastAsia" w:ascii="仿宋_GB2312" w:eastAsia="仿宋_GB2312" w:hAnsiTheme="minorEastAsia" w:cstheme="minorEastAsia"/>
          <w:sz w:val="32"/>
          <w:szCs w:val="32"/>
        </w:rPr>
        <w:t>。</w:t>
      </w:r>
    </w:p>
    <w:p>
      <w:pPr>
        <w:spacing w:line="600" w:lineRule="exact"/>
        <w:ind w:firstLine="640" w:firstLineChars="200"/>
        <w:rPr>
          <w:rFonts w:ascii="仿宋_GB2312" w:eastAsia="仿宋_GB2312" w:hAnsiTheme="minorEastAsia" w:cstheme="minorEastAsia"/>
          <w:sz w:val="32"/>
          <w:szCs w:val="32"/>
        </w:rPr>
      </w:pPr>
    </w:p>
    <w:p>
      <w:pPr>
        <w:spacing w:line="600" w:lineRule="exact"/>
        <w:ind w:firstLine="640" w:firstLineChars="200"/>
        <w:rPr>
          <w:rFonts w:ascii="仿宋_GB2312" w:eastAsia="仿宋_GB2312" w:hAnsi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仿宋_GB2312" w:eastAsia="仿宋_GB2312" w:hAnsiTheme="minorEastAsia" w:cstheme="minorEastAsia"/>
          <w:sz w:val="32"/>
          <w:szCs w:val="32"/>
        </w:rPr>
        <w:t>院团委  科研处  院科学技术协会</w:t>
      </w:r>
    </w:p>
    <w:p>
      <w:pPr>
        <w:spacing w:line="680" w:lineRule="exact"/>
        <w:ind w:right="640" w:firstLine="5120" w:firstLineChars="16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2021年3月16日</w:t>
      </w:r>
    </w:p>
    <w:p>
      <w:pPr>
        <w:spacing w:line="680" w:lineRule="exact"/>
        <w:ind w:right="640" w:firstLine="4960" w:firstLineChars="1550"/>
        <w:rPr>
          <w:rFonts w:hint="eastAsia" w:ascii="仿宋_GB2312" w:eastAsia="仿宋_GB2312" w:hAnsiTheme="minorEastAsia" w:cstheme="minorEastAsia"/>
          <w:sz w:val="32"/>
          <w:szCs w:val="32"/>
        </w:rPr>
      </w:pPr>
    </w:p>
    <w:p>
      <w:pPr>
        <w:spacing w:line="680" w:lineRule="exact"/>
        <w:ind w:right="640" w:firstLine="4960" w:firstLineChars="1550"/>
        <w:rPr>
          <w:rFonts w:ascii="仿宋_GB2312" w:eastAsia="仿宋_GB2312" w:hAnsiTheme="minorEastAsia" w:cstheme="minorEastAsia"/>
          <w:sz w:val="32"/>
          <w:szCs w:val="32"/>
        </w:rPr>
      </w:pPr>
    </w:p>
    <w:p>
      <w:pPr>
        <w:spacing w:line="480" w:lineRule="auto"/>
        <w:jc w:val="both"/>
        <w:rPr>
          <w:sz w:val="18"/>
        </w:rPr>
      </w:pPr>
      <w:bookmarkStart w:id="225" w:name="_GoBack"/>
      <w:bookmarkEnd w:id="225"/>
      <w:r>
        <w:rPr>
          <w:rFonts w:hint="eastAsia" w:eastAsia="宋体"/>
          <w:b/>
          <w:bCs/>
          <w:sz w:val="32"/>
          <w:szCs w:val="32"/>
          <w:lang w:val="en-US"/>
        </w:rPr>
        <w:t>附件：</w:t>
      </w:r>
    </w:p>
    <w:p>
      <w:pPr>
        <w:pStyle w:val="14"/>
        <w:keepNext/>
        <w:keepLines/>
        <w:spacing w:after="680" w:line="682" w:lineRule="exact"/>
        <w:rPr>
          <w:rFonts w:ascii="方正小标宋简体" w:eastAsia="方正小标宋简体"/>
        </w:rPr>
      </w:pPr>
      <w:bookmarkStart w:id="0" w:name="bookmark0"/>
      <w:bookmarkStart w:id="1" w:name="bookmark1"/>
      <w:bookmarkStart w:id="2" w:name="bookmark2"/>
      <w:r>
        <w:rPr>
          <w:rFonts w:hint="eastAsia" w:ascii="方正小标宋简体" w:eastAsia="方正小标宋简体"/>
          <w:color w:val="000000"/>
        </w:rPr>
        <w:t>关于组织开展第十四届</w:t>
      </w:r>
      <w:r>
        <w:rPr>
          <w:rFonts w:hint="eastAsia" w:ascii="方正小标宋简体" w:eastAsia="方正小标宋简体"/>
          <w:color w:val="000000"/>
          <w:lang w:val="zh-CN" w:eastAsia="zh-CN" w:bidi="zh-CN"/>
        </w:rPr>
        <w:t>“挑</w:t>
      </w:r>
      <w:r>
        <w:rPr>
          <w:rFonts w:hint="eastAsia" w:ascii="方正小标宋简体" w:eastAsia="方正小标宋简体"/>
          <w:color w:val="000000"/>
        </w:rPr>
        <w:t>战杯</w:t>
      </w:r>
      <w:r>
        <w:rPr>
          <w:rFonts w:hint="eastAsia" w:ascii="方正小标宋简体" w:eastAsia="方正小标宋简体"/>
          <w:color w:val="000000"/>
          <w:lang w:val="zh-CN" w:eastAsia="zh-CN" w:bidi="zh-CN"/>
        </w:rPr>
        <w:t>”湖南</w:t>
      </w:r>
      <w:r>
        <w:rPr>
          <w:rFonts w:hint="eastAsia" w:ascii="方正小标宋简体" w:eastAsia="方正小标宋简体"/>
          <w:color w:val="000000"/>
        </w:rPr>
        <w:t>省大学生课外学术科技作品竞赛的预通知</w:t>
      </w:r>
      <w:bookmarkEnd w:id="0"/>
      <w:bookmarkEnd w:id="1"/>
      <w:bookmarkEnd w:id="2"/>
    </w:p>
    <w:p>
      <w:pPr>
        <w:pStyle w:val="15"/>
        <w:ind w:firstLine="0"/>
      </w:pPr>
      <w:r>
        <w:rPr>
          <w:color w:val="000000"/>
        </w:rPr>
        <w:t>各高校团委，省直团工委，各市州团委学校部：</w:t>
      </w:r>
    </w:p>
    <w:p>
      <w:pPr>
        <w:pStyle w:val="15"/>
        <w:jc w:val="both"/>
      </w:pPr>
      <w:r>
        <w:rPr>
          <w:color w:val="000000"/>
          <w:lang w:val="zh-CN" w:eastAsia="zh-CN" w:bidi="zh-CN"/>
        </w:rPr>
        <w:t>“挑</w:t>
      </w:r>
      <w:r>
        <w:rPr>
          <w:color w:val="000000"/>
        </w:rPr>
        <w:t>战杯”湖南省大学生课外学术科技作品竞赛已成功举办了十三届，在推动扩大我省高校学生参与学术科技实践，发现和培养创新人才，深化高校素质教育等方面发挥了积极作用，在进 一步促进我省高校立德树人进程中，体现了鲜明的导向性、示范 性和群众性，产生了广泛、良好的影响。</w:t>
      </w:r>
    </w:p>
    <w:p>
      <w:pPr>
        <w:pStyle w:val="15"/>
        <w:jc w:val="both"/>
      </w:pPr>
      <w:r>
        <w:rPr>
          <w:color w:val="000000"/>
        </w:rPr>
        <w:t>为深入贯彻党的十九届五中全会精神，认真贯彻落实省委十一届十二次全会精神，助力实施</w:t>
      </w:r>
      <w:r>
        <w:rPr>
          <w:color w:val="000000"/>
          <w:lang w:val="zh-CN" w:eastAsia="zh-CN" w:bidi="zh-CN"/>
        </w:rPr>
        <w:t>“三高</w:t>
      </w:r>
      <w:r>
        <w:rPr>
          <w:color w:val="000000"/>
        </w:rPr>
        <w:t>四新”战略，建设现代化 新湖南，进一步引导我省广大高校学生努力培养科学精神和科学 态度，积极学习科学知识和科学方法，踊跃投身打造具有核心</w:t>
      </w:r>
      <w:r>
        <w:rPr>
          <w:rFonts w:hint="eastAsia"/>
          <w:color w:val="000000"/>
          <w:lang w:eastAsia="zh-CN"/>
        </w:rPr>
        <w:t>竞争力</w:t>
      </w:r>
      <w:r>
        <w:rPr>
          <w:color w:val="000000"/>
        </w:rPr>
        <w:t>的科技创新高地，助力实施创新驱动发展战略，促进科技自 立自强、加快建设科技强国</w:t>
      </w:r>
      <w:r>
        <w:rPr>
          <w:rFonts w:hint="eastAsia"/>
          <w:color w:val="000000"/>
          <w:lang w:eastAsia="zh-CN"/>
        </w:rPr>
        <w:t>，</w:t>
      </w:r>
      <w:r>
        <w:rPr>
          <w:color w:val="000000"/>
        </w:rPr>
        <w:t>为奋力谱写新时代坚持和发展中国 特色社会主义的湖南新篇章贡献青春力量。现将第十四届</w:t>
      </w:r>
      <w:r>
        <w:rPr>
          <w:color w:val="000000"/>
          <w:lang w:val="zh-CN" w:eastAsia="zh-CN" w:bidi="zh-CN"/>
        </w:rPr>
        <w:t xml:space="preserve">“挑战 </w:t>
      </w:r>
      <w:r>
        <w:rPr>
          <w:color w:val="000000"/>
        </w:rPr>
        <w:t>杯</w:t>
      </w:r>
      <w:r>
        <w:rPr>
          <w:color w:val="000000"/>
          <w:lang w:val="zh-CN" w:eastAsia="zh-CN" w:bidi="zh-CN"/>
        </w:rPr>
        <w:t>”湖南</w:t>
      </w:r>
      <w:r>
        <w:rPr>
          <w:color w:val="000000"/>
        </w:rPr>
        <w:t>省大学生课外学术科技作品竞赛有关事项预通知如下。</w:t>
      </w:r>
    </w:p>
    <w:p>
      <w:pPr>
        <w:pStyle w:val="15"/>
        <w:jc w:val="both"/>
        <w:rPr>
          <w:sz w:val="30"/>
          <w:szCs w:val="30"/>
        </w:rPr>
      </w:pPr>
      <w:r>
        <w:rPr>
          <w:color w:val="000000"/>
          <w:sz w:val="30"/>
          <w:szCs w:val="30"/>
        </w:rPr>
        <w:t>—、竞赛宗旨</w:t>
      </w:r>
    </w:p>
    <w:p>
      <w:pPr>
        <w:pStyle w:val="15"/>
        <w:jc w:val="both"/>
      </w:pPr>
      <w:r>
        <w:rPr>
          <w:color w:val="000000"/>
        </w:rPr>
        <w:t>崇尚科学、追求真知、勤奋学习、锐意创新、迎接挑战</w:t>
      </w:r>
    </w:p>
    <w:p>
      <w:pPr>
        <w:pStyle w:val="15"/>
        <w:jc w:val="both"/>
        <w:rPr>
          <w:sz w:val="30"/>
          <w:szCs w:val="30"/>
        </w:rPr>
      </w:pPr>
      <w:bookmarkStart w:id="3" w:name="bookmark3"/>
      <w:r>
        <w:rPr>
          <w:color w:val="000000"/>
          <w:sz w:val="30"/>
          <w:szCs w:val="30"/>
        </w:rPr>
        <w:t>二</w:t>
      </w:r>
      <w:bookmarkEnd w:id="3"/>
      <w:r>
        <w:rPr>
          <w:color w:val="000000"/>
          <w:sz w:val="30"/>
          <w:szCs w:val="30"/>
        </w:rPr>
        <w:t>、竞赛时间</w:t>
      </w:r>
    </w:p>
    <w:p>
      <w:pPr>
        <w:pStyle w:val="15"/>
        <w:jc w:val="both"/>
        <w:rPr>
          <w:color w:val="000000"/>
          <w:sz w:val="30"/>
          <w:szCs w:val="30"/>
        </w:rPr>
      </w:pPr>
      <w:r>
        <w:rPr>
          <w:color w:val="000000"/>
          <w:sz w:val="30"/>
          <w:szCs w:val="30"/>
        </w:rPr>
        <w:t>2021年3月至5月</w:t>
      </w:r>
      <w:bookmarkStart w:id="4" w:name="bookmark4"/>
    </w:p>
    <w:p>
      <w:pPr>
        <w:pStyle w:val="15"/>
        <w:jc w:val="both"/>
        <w:rPr>
          <w:color w:val="000000"/>
          <w:sz w:val="30"/>
          <w:szCs w:val="30"/>
        </w:rPr>
      </w:pPr>
      <w:r>
        <w:rPr>
          <w:color w:val="000000"/>
          <w:sz w:val="30"/>
          <w:szCs w:val="30"/>
        </w:rPr>
        <w:t>三</w:t>
      </w:r>
      <w:bookmarkEnd w:id="4"/>
      <w:r>
        <w:rPr>
          <w:color w:val="000000"/>
          <w:sz w:val="30"/>
          <w:szCs w:val="30"/>
        </w:rPr>
        <w:t>、参赛对象</w:t>
      </w:r>
    </w:p>
    <w:p>
      <w:pPr>
        <w:pStyle w:val="15"/>
        <w:jc w:val="both"/>
      </w:pPr>
      <w:r>
        <w:rPr>
          <w:color w:val="000000"/>
          <w:sz w:val="30"/>
          <w:szCs w:val="30"/>
        </w:rPr>
        <w:t>在2021年6</w:t>
      </w:r>
      <w:r>
        <w:rPr>
          <w:color w:val="000000"/>
        </w:rPr>
        <w:t>月</w:t>
      </w:r>
      <w:r>
        <w:rPr>
          <w:color w:val="000000"/>
          <w:sz w:val="32"/>
          <w:szCs w:val="32"/>
        </w:rPr>
        <w:t>1</w:t>
      </w:r>
      <w:r>
        <w:rPr>
          <w:color w:val="000000"/>
        </w:rPr>
        <w:t>日之前正式注册的全日制非成人教育的各类高等院校在校专科生、本科生、硕士研究生（不含在职研究生）。</w:t>
      </w:r>
    </w:p>
    <w:p>
      <w:pPr>
        <w:pStyle w:val="16"/>
        <w:tabs>
          <w:tab w:val="left" w:pos="1358"/>
        </w:tabs>
        <w:spacing w:line="564" w:lineRule="exact"/>
        <w:ind w:firstLine="640"/>
        <w:jc w:val="both"/>
        <w:rPr>
          <w:sz w:val="30"/>
          <w:szCs w:val="30"/>
        </w:rPr>
      </w:pPr>
      <w:bookmarkStart w:id="5" w:name="bookmark5"/>
      <w:r>
        <w:rPr>
          <w:color w:val="000000"/>
          <w:sz w:val="30"/>
          <w:szCs w:val="30"/>
        </w:rPr>
        <w:t>四</w:t>
      </w:r>
      <w:bookmarkEnd w:id="5"/>
      <w:r>
        <w:rPr>
          <w:color w:val="000000"/>
          <w:sz w:val="30"/>
          <w:szCs w:val="30"/>
        </w:rPr>
        <w:t>、</w:t>
      </w:r>
      <w:r>
        <w:rPr>
          <w:color w:val="000000"/>
          <w:sz w:val="30"/>
          <w:szCs w:val="30"/>
        </w:rPr>
        <w:tab/>
      </w:r>
      <w:r>
        <w:rPr>
          <w:color w:val="000000"/>
          <w:sz w:val="30"/>
          <w:szCs w:val="30"/>
        </w:rPr>
        <w:t>竞赛组织机构</w:t>
      </w:r>
    </w:p>
    <w:p>
      <w:pPr>
        <w:pStyle w:val="16"/>
        <w:spacing w:line="564" w:lineRule="exact"/>
        <w:ind w:firstLine="640"/>
        <w:jc w:val="both"/>
      </w:pPr>
      <w:r>
        <w:rPr>
          <w:color w:val="000000"/>
        </w:rPr>
        <w:t>本次竞赛设立领导小组、组委会和评审委员会，领导小组</w:t>
      </w:r>
      <w:r>
        <w:rPr>
          <w:rFonts w:hint="eastAsia"/>
          <w:color w:val="000000"/>
          <w:lang w:eastAsia="zh-CN"/>
        </w:rPr>
        <w:t>办公室</w:t>
      </w:r>
      <w:r>
        <w:rPr>
          <w:color w:val="000000"/>
        </w:rPr>
        <w:t>和组委会秘书处设团省委学校部，评审委员会成员为相关学 科具有高级职称的非高校专家或高科技企业的技术骨干组成，由 组委会提名。</w:t>
      </w:r>
    </w:p>
    <w:p>
      <w:pPr>
        <w:pStyle w:val="16"/>
        <w:tabs>
          <w:tab w:val="left" w:pos="1358"/>
        </w:tabs>
        <w:spacing w:line="564" w:lineRule="exact"/>
        <w:ind w:firstLine="640"/>
        <w:jc w:val="both"/>
        <w:rPr>
          <w:sz w:val="30"/>
          <w:szCs w:val="30"/>
        </w:rPr>
      </w:pPr>
      <w:bookmarkStart w:id="6" w:name="bookmark6"/>
      <w:r>
        <w:rPr>
          <w:color w:val="000000"/>
          <w:sz w:val="30"/>
          <w:szCs w:val="30"/>
        </w:rPr>
        <w:t>五</w:t>
      </w:r>
      <w:bookmarkEnd w:id="6"/>
      <w:r>
        <w:rPr>
          <w:color w:val="000000"/>
          <w:sz w:val="30"/>
          <w:szCs w:val="30"/>
        </w:rPr>
        <w:t>、</w:t>
      </w:r>
      <w:r>
        <w:rPr>
          <w:color w:val="000000"/>
          <w:sz w:val="30"/>
          <w:szCs w:val="30"/>
        </w:rPr>
        <w:tab/>
      </w:r>
      <w:r>
        <w:rPr>
          <w:color w:val="000000"/>
          <w:sz w:val="30"/>
          <w:szCs w:val="30"/>
        </w:rPr>
        <w:t>竞赛步骤</w:t>
      </w:r>
    </w:p>
    <w:p>
      <w:pPr>
        <w:pStyle w:val="16"/>
        <w:tabs>
          <w:tab w:val="left" w:pos="1502"/>
        </w:tabs>
        <w:spacing w:line="562" w:lineRule="exact"/>
        <w:ind w:firstLine="640"/>
        <w:jc w:val="both"/>
      </w:pPr>
      <w:bookmarkStart w:id="7" w:name="bookmark7"/>
      <w:r>
        <w:rPr>
          <w:b/>
          <w:bCs/>
          <w:color w:val="000000"/>
        </w:rPr>
        <w:t>（</w:t>
      </w:r>
      <w:bookmarkEnd w:id="7"/>
      <w:r>
        <w:rPr>
          <w:b/>
          <w:bCs/>
          <w:color w:val="000000"/>
        </w:rPr>
        <w:t>一）</w:t>
      </w:r>
      <w:r>
        <w:rPr>
          <w:b/>
          <w:bCs/>
          <w:color w:val="000000"/>
        </w:rPr>
        <w:tab/>
      </w:r>
      <w:r>
        <w:rPr>
          <w:b/>
          <w:bCs/>
          <w:color w:val="000000"/>
        </w:rPr>
        <w:t>组织发动阶段（3月中旬）</w:t>
      </w:r>
    </w:p>
    <w:p>
      <w:pPr>
        <w:pStyle w:val="16"/>
        <w:spacing w:line="562" w:lineRule="exact"/>
        <w:ind w:firstLine="640"/>
        <w:jc w:val="both"/>
      </w:pPr>
      <w:r>
        <w:rPr>
          <w:color w:val="000000"/>
        </w:rPr>
        <w:t>各高校团委组织参赛学生进行作品申报。</w:t>
      </w:r>
    </w:p>
    <w:p>
      <w:pPr>
        <w:pStyle w:val="16"/>
        <w:tabs>
          <w:tab w:val="left" w:pos="1502"/>
        </w:tabs>
        <w:spacing w:line="562" w:lineRule="exact"/>
        <w:ind w:firstLine="640"/>
        <w:jc w:val="both"/>
      </w:pPr>
      <w:bookmarkStart w:id="8" w:name="bookmark8"/>
      <w:r>
        <w:rPr>
          <w:b/>
          <w:bCs/>
          <w:color w:val="000000"/>
        </w:rPr>
        <w:t>（</w:t>
      </w:r>
      <w:bookmarkEnd w:id="8"/>
      <w:r>
        <w:rPr>
          <w:b/>
          <w:bCs/>
          <w:color w:val="000000"/>
        </w:rPr>
        <w:t>二）</w:t>
      </w:r>
      <w:r>
        <w:rPr>
          <w:b/>
          <w:bCs/>
          <w:color w:val="000000"/>
        </w:rPr>
        <w:tab/>
      </w:r>
      <w:r>
        <w:rPr>
          <w:b/>
          <w:bCs/>
          <w:color w:val="000000"/>
        </w:rPr>
        <w:t>高校初赛和组织申报阶段（3月中旬至4月5日）</w:t>
      </w:r>
    </w:p>
    <w:p>
      <w:pPr>
        <w:pStyle w:val="16"/>
        <w:numPr>
          <w:ilvl w:val="0"/>
          <w:numId w:val="1"/>
        </w:numPr>
        <w:tabs>
          <w:tab w:val="left" w:pos="1102"/>
        </w:tabs>
        <w:spacing w:line="561" w:lineRule="exact"/>
        <w:ind w:firstLine="640"/>
        <w:jc w:val="both"/>
      </w:pPr>
      <w:bookmarkStart w:id="9" w:name="bookmark9"/>
      <w:bookmarkEnd w:id="9"/>
      <w:r>
        <w:rPr>
          <w:color w:val="000000"/>
        </w:rPr>
        <w:t>各高校举行校级预赛，按竞赛要求对作品和作者进行资格审查，对参赛作品进行初步评审，择优选送本校参赛作品。每所 本科院校选送参加竞赛的作品总数不得超过</w:t>
      </w:r>
      <w:r>
        <w:rPr>
          <w:color w:val="000000"/>
          <w:sz w:val="32"/>
          <w:szCs w:val="32"/>
        </w:rPr>
        <w:t>10</w:t>
      </w:r>
      <w:r>
        <w:rPr>
          <w:color w:val="000000"/>
        </w:rPr>
        <w:t>件，其中研究生 作品不得超过作品总数的</w:t>
      </w:r>
      <w:r>
        <w:rPr>
          <w:color w:val="000000"/>
          <w:sz w:val="32"/>
          <w:szCs w:val="32"/>
        </w:rPr>
        <w:t>1/2；</w:t>
      </w:r>
      <w:r>
        <w:rPr>
          <w:color w:val="000000"/>
        </w:rPr>
        <w:t>每所高职院校选送参加省赛的作 品总数不得超过</w:t>
      </w:r>
      <w:r>
        <w:rPr>
          <w:color w:val="000000"/>
          <w:sz w:val="32"/>
          <w:szCs w:val="32"/>
        </w:rPr>
        <w:t>5</w:t>
      </w:r>
      <w:r>
        <w:rPr>
          <w:color w:val="000000"/>
        </w:rPr>
        <w:t>件。竞赛承办高校可加报</w:t>
      </w:r>
      <w:r>
        <w:rPr>
          <w:color w:val="000000"/>
          <w:sz w:val="32"/>
          <w:szCs w:val="32"/>
        </w:rPr>
        <w:t>5</w:t>
      </w:r>
      <w:r>
        <w:rPr>
          <w:color w:val="000000"/>
        </w:rPr>
        <w:t>件作品（申报时须 注明是加报作品），加报作品的成绩不计入团体总分。参赛者每 人限报</w:t>
      </w:r>
      <w:r>
        <w:rPr>
          <w:color w:val="000000"/>
          <w:sz w:val="32"/>
          <w:szCs w:val="32"/>
        </w:rPr>
        <w:t>1</w:t>
      </w:r>
      <w:r>
        <w:rPr>
          <w:color w:val="000000"/>
        </w:rPr>
        <w:t>件作品，参赛作品须由参赛者使用</w:t>
      </w:r>
      <w:r>
        <w:rPr>
          <w:color w:val="000000"/>
          <w:lang w:val="zh-CN" w:eastAsia="zh-CN" w:bidi="zh-CN"/>
        </w:rPr>
        <w:t>“维</w:t>
      </w:r>
      <w:r>
        <w:rPr>
          <w:color w:val="000000"/>
        </w:rPr>
        <w:t>普”查重软件 进行查重。</w:t>
      </w:r>
    </w:p>
    <w:p>
      <w:pPr>
        <w:pStyle w:val="16"/>
        <w:numPr>
          <w:ilvl w:val="0"/>
          <w:numId w:val="1"/>
        </w:numPr>
        <w:tabs>
          <w:tab w:val="left" w:pos="1069"/>
        </w:tabs>
        <w:spacing w:line="561" w:lineRule="exact"/>
        <w:ind w:firstLine="640"/>
        <w:jc w:val="both"/>
      </w:pPr>
      <w:bookmarkStart w:id="10" w:name="bookmark10"/>
      <w:bookmarkEnd w:id="10"/>
      <w:r>
        <w:rPr>
          <w:color w:val="000000"/>
        </w:rPr>
        <w:t>本届竞赛作品申报方式为纸质申报和网络报备。</w:t>
      </w:r>
      <w:r>
        <w:rPr>
          <w:color w:val="000000"/>
          <w:sz w:val="32"/>
          <w:szCs w:val="32"/>
        </w:rPr>
        <w:t>4</w:t>
      </w:r>
      <w:r>
        <w:rPr>
          <w:color w:val="000000"/>
        </w:rPr>
        <w:t>月</w:t>
      </w:r>
      <w:r>
        <w:rPr>
          <w:color w:val="000000"/>
          <w:sz w:val="32"/>
          <w:szCs w:val="32"/>
        </w:rPr>
        <w:t>5</w:t>
      </w:r>
      <w:r>
        <w:rPr>
          <w:color w:val="000000"/>
        </w:rPr>
        <w:t>日前，各高校团委向组委会办公室报送参赛作品汇总表、相关申报 材料及校级赛事组织实施情况评价表并加盖公章。其中，申报材 料分为纸质档和电子档，纸质档申报表和作品要求分开装订，一 式</w:t>
      </w:r>
      <w:r>
        <w:rPr>
          <w:color w:val="000000"/>
          <w:sz w:val="32"/>
          <w:szCs w:val="32"/>
        </w:rPr>
        <w:t>6</w:t>
      </w:r>
      <w:r>
        <w:rPr>
          <w:color w:val="000000"/>
        </w:rPr>
        <w:t>份（其中须含</w:t>
      </w:r>
      <w:r>
        <w:rPr>
          <w:color w:val="000000"/>
          <w:sz w:val="32"/>
          <w:szCs w:val="32"/>
        </w:rPr>
        <w:t>3</w:t>
      </w:r>
      <w:r>
        <w:rPr>
          <w:color w:val="000000"/>
        </w:rPr>
        <w:t xml:space="preserve">份盲评材料，省去学校、指导老师和参赛人 员名称，且作品中不得出现以上三类相关信息），纸质封面采用 </w:t>
      </w:r>
      <w:r>
        <w:rPr>
          <w:color w:val="000000"/>
          <w:sz w:val="32"/>
          <w:szCs w:val="32"/>
        </w:rPr>
        <w:t>230</w:t>
      </w:r>
      <w:r>
        <w:rPr>
          <w:color w:val="000000"/>
        </w:rPr>
        <w:t>克</w:t>
      </w:r>
      <w:r>
        <w:rPr>
          <w:color w:val="000000"/>
          <w:sz w:val="32"/>
          <w:szCs w:val="32"/>
          <w:lang w:val="en-US" w:eastAsia="zh-CN" w:bidi="en-US"/>
        </w:rPr>
        <w:t>A4</w:t>
      </w:r>
      <w:r>
        <w:rPr>
          <w:color w:val="000000"/>
        </w:rPr>
        <w:t>纸，正文采用</w:t>
      </w:r>
      <w:r>
        <w:rPr>
          <w:color w:val="000000"/>
          <w:sz w:val="32"/>
          <w:szCs w:val="32"/>
        </w:rPr>
        <w:t>70</w:t>
      </w:r>
      <w:r>
        <w:rPr>
          <w:color w:val="000000"/>
        </w:rPr>
        <w:t>克</w:t>
      </w:r>
      <w:r>
        <w:rPr>
          <w:color w:val="000000"/>
          <w:sz w:val="32"/>
          <w:szCs w:val="32"/>
          <w:lang w:val="en-US" w:eastAsia="zh-CN" w:bidi="en-US"/>
        </w:rPr>
        <w:t>A4</w:t>
      </w:r>
      <w:r>
        <w:rPr>
          <w:color w:val="000000"/>
        </w:rPr>
        <w:t>纸，寄出截止日期以当地邮戳 为准；电子档申报材料发送至组委会指定邮箱。</w:t>
      </w:r>
    </w:p>
    <w:p>
      <w:pPr>
        <w:pStyle w:val="16"/>
        <w:spacing w:line="562" w:lineRule="exact"/>
        <w:ind w:firstLine="640"/>
        <w:jc w:val="both"/>
      </w:pPr>
      <w:r>
        <w:rPr>
          <w:color w:val="000000"/>
        </w:rPr>
        <w:t>以上材料模板及有关填报要求由组委会秘书处单独印发。</w:t>
      </w:r>
    </w:p>
    <w:p>
      <w:pPr>
        <w:pStyle w:val="16"/>
        <w:tabs>
          <w:tab w:val="left" w:pos="1502"/>
        </w:tabs>
        <w:spacing w:line="562" w:lineRule="exact"/>
        <w:ind w:firstLine="640"/>
        <w:jc w:val="both"/>
      </w:pPr>
      <w:bookmarkStart w:id="11" w:name="bookmark11"/>
      <w:r>
        <w:rPr>
          <w:b/>
          <w:bCs/>
          <w:color w:val="000000"/>
        </w:rPr>
        <w:t>（</w:t>
      </w:r>
      <w:bookmarkEnd w:id="11"/>
      <w:r>
        <w:rPr>
          <w:b/>
          <w:bCs/>
          <w:color w:val="000000"/>
        </w:rPr>
        <w:t>三）</w:t>
      </w:r>
      <w:r>
        <w:rPr>
          <w:b/>
          <w:bCs/>
          <w:color w:val="000000"/>
        </w:rPr>
        <w:tab/>
      </w:r>
      <w:r>
        <w:rPr>
          <w:b/>
          <w:bCs/>
          <w:color w:val="000000"/>
        </w:rPr>
        <w:t>资格审查阶段（4月中旬）</w:t>
      </w:r>
    </w:p>
    <w:p>
      <w:pPr>
        <w:pStyle w:val="16"/>
        <w:spacing w:line="560" w:lineRule="exact"/>
        <w:ind w:firstLine="640"/>
        <w:jc w:val="both"/>
      </w:pPr>
      <w:r>
        <w:rPr>
          <w:color w:val="000000"/>
        </w:rPr>
        <w:t>组委会对作品进行资格审查，参赛作品申报材料不规范、不及时、不符合要求的，直接取消参赛资格且不予递补，确定进入 省级复赛作品并书面通知各高校。</w:t>
      </w:r>
    </w:p>
    <w:p>
      <w:pPr>
        <w:pStyle w:val="16"/>
        <w:tabs>
          <w:tab w:val="left" w:pos="1502"/>
        </w:tabs>
        <w:spacing w:line="560" w:lineRule="exact"/>
        <w:ind w:firstLine="640"/>
        <w:jc w:val="both"/>
      </w:pPr>
      <w:bookmarkStart w:id="12" w:name="bookmark12"/>
      <w:r>
        <w:rPr>
          <w:b/>
          <w:bCs/>
          <w:color w:val="000000"/>
        </w:rPr>
        <w:t>（</w:t>
      </w:r>
      <w:bookmarkEnd w:id="12"/>
      <w:r>
        <w:rPr>
          <w:b/>
          <w:bCs/>
          <w:color w:val="000000"/>
        </w:rPr>
        <w:t>四）</w:t>
      </w:r>
      <w:r>
        <w:rPr>
          <w:b/>
          <w:bCs/>
          <w:color w:val="000000"/>
        </w:rPr>
        <w:tab/>
      </w:r>
      <w:r>
        <w:rPr>
          <w:b/>
          <w:bCs/>
          <w:color w:val="000000"/>
        </w:rPr>
        <w:t>省级复赛阶段（4月下旬）</w:t>
      </w:r>
    </w:p>
    <w:p>
      <w:pPr>
        <w:pStyle w:val="16"/>
        <w:numPr>
          <w:ilvl w:val="0"/>
          <w:numId w:val="2"/>
        </w:numPr>
        <w:tabs>
          <w:tab w:val="left" w:pos="1102"/>
        </w:tabs>
        <w:spacing w:line="560" w:lineRule="exact"/>
        <w:ind w:firstLine="640"/>
        <w:jc w:val="both"/>
      </w:pPr>
      <w:bookmarkStart w:id="13" w:name="bookmark13"/>
      <w:bookmarkEnd w:id="13"/>
      <w:r>
        <w:rPr>
          <w:color w:val="000000"/>
        </w:rPr>
        <w:t>评审委员会对资格审查合格的作品进行盲评预审，评选出</w:t>
      </w:r>
      <w:r>
        <w:rPr>
          <w:color w:val="000000"/>
          <w:sz w:val="32"/>
          <w:szCs w:val="32"/>
        </w:rPr>
        <w:t>80%</w:t>
      </w:r>
      <w:r>
        <w:rPr>
          <w:color w:val="000000"/>
        </w:rPr>
        <w:t>左右的参赛作品正式入围复赛，入围复赛作品中的</w:t>
      </w:r>
      <w:r>
        <w:rPr>
          <w:color w:val="000000"/>
          <w:sz w:val="32"/>
          <w:szCs w:val="32"/>
        </w:rPr>
        <w:t>65%</w:t>
      </w:r>
      <w:r>
        <w:rPr>
          <w:color w:val="000000"/>
        </w:rPr>
        <w:t>获得 三等奖，其余</w:t>
      </w:r>
      <w:r>
        <w:rPr>
          <w:color w:val="000000"/>
          <w:sz w:val="32"/>
          <w:szCs w:val="32"/>
        </w:rPr>
        <w:t>35%</w:t>
      </w:r>
      <w:r>
        <w:rPr>
          <w:color w:val="000000"/>
        </w:rPr>
        <w:t>进入终审决赛。进入终审决赛的作品届时将由 组委会秘书处书面通知各高校。</w:t>
      </w:r>
    </w:p>
    <w:p>
      <w:pPr>
        <w:pStyle w:val="16"/>
        <w:numPr>
          <w:ilvl w:val="0"/>
          <w:numId w:val="2"/>
        </w:numPr>
        <w:tabs>
          <w:tab w:val="left" w:pos="1069"/>
        </w:tabs>
        <w:spacing w:line="560" w:lineRule="exact"/>
        <w:ind w:firstLine="640"/>
        <w:jc w:val="both"/>
      </w:pPr>
      <w:bookmarkStart w:id="14" w:name="bookmark14"/>
      <w:bookmarkEnd w:id="14"/>
      <w:r>
        <w:rPr>
          <w:color w:val="000000"/>
        </w:rPr>
        <w:t>各高校团委按组委会要求做好参评的各项物资技术准备和组团、组队工作。</w:t>
      </w:r>
    </w:p>
    <w:p>
      <w:pPr>
        <w:pStyle w:val="16"/>
        <w:tabs>
          <w:tab w:val="left" w:pos="1502"/>
        </w:tabs>
        <w:spacing w:line="560" w:lineRule="exact"/>
        <w:ind w:firstLine="640"/>
      </w:pPr>
      <w:bookmarkStart w:id="15" w:name="bookmark15"/>
      <w:r>
        <w:rPr>
          <w:b/>
          <w:bCs/>
          <w:color w:val="000000"/>
        </w:rPr>
        <w:t>（</w:t>
      </w:r>
      <w:bookmarkEnd w:id="15"/>
      <w:r>
        <w:rPr>
          <w:b/>
          <w:bCs/>
          <w:color w:val="000000"/>
        </w:rPr>
        <w:t>五）</w:t>
      </w:r>
      <w:r>
        <w:rPr>
          <w:b/>
          <w:bCs/>
          <w:color w:val="000000"/>
        </w:rPr>
        <w:tab/>
      </w:r>
      <w:r>
        <w:rPr>
          <w:b/>
          <w:bCs/>
          <w:color w:val="000000"/>
        </w:rPr>
        <w:t>终审决赛和总结阶段（5月上旬）</w:t>
      </w:r>
    </w:p>
    <w:p>
      <w:pPr>
        <w:pStyle w:val="16"/>
        <w:numPr>
          <w:ilvl w:val="0"/>
          <w:numId w:val="3"/>
        </w:numPr>
        <w:tabs>
          <w:tab w:val="left" w:pos="1139"/>
        </w:tabs>
        <w:spacing w:line="560" w:lineRule="exact"/>
        <w:ind w:firstLine="640"/>
      </w:pPr>
      <w:bookmarkStart w:id="16" w:name="bookmark16"/>
      <w:bookmarkEnd w:id="16"/>
      <w:r>
        <w:rPr>
          <w:color w:val="000000"/>
        </w:rPr>
        <w:t>各高校到承办单位报到；</w:t>
      </w:r>
    </w:p>
    <w:p>
      <w:pPr>
        <w:pStyle w:val="16"/>
        <w:numPr>
          <w:ilvl w:val="0"/>
          <w:numId w:val="3"/>
        </w:numPr>
        <w:tabs>
          <w:tab w:val="left" w:pos="1139"/>
        </w:tabs>
        <w:spacing w:line="560" w:lineRule="exact"/>
        <w:ind w:firstLine="640"/>
      </w:pPr>
      <w:bookmarkStart w:id="17" w:name="bookmark17"/>
      <w:bookmarkEnd w:id="17"/>
      <w:r>
        <w:rPr>
          <w:color w:val="000000"/>
        </w:rPr>
        <w:t>评委会对作品进行终审，并由作者进行答辩；</w:t>
      </w:r>
    </w:p>
    <w:p>
      <w:pPr>
        <w:pStyle w:val="16"/>
        <w:numPr>
          <w:ilvl w:val="0"/>
          <w:numId w:val="3"/>
        </w:numPr>
        <w:tabs>
          <w:tab w:val="left" w:pos="1139"/>
        </w:tabs>
        <w:spacing w:line="560" w:lineRule="exact"/>
        <w:ind w:firstLine="640"/>
      </w:pPr>
      <w:bookmarkStart w:id="18" w:name="bookmark18"/>
      <w:bookmarkEnd w:id="18"/>
      <w:r>
        <w:rPr>
          <w:color w:val="000000"/>
        </w:rPr>
        <w:t>公布获奖名单。</w:t>
      </w:r>
    </w:p>
    <w:p>
      <w:pPr>
        <w:pStyle w:val="16"/>
        <w:tabs>
          <w:tab w:val="left" w:pos="1281"/>
        </w:tabs>
        <w:spacing w:line="561" w:lineRule="exact"/>
        <w:ind w:firstLine="640"/>
        <w:jc w:val="both"/>
        <w:rPr>
          <w:sz w:val="30"/>
          <w:szCs w:val="30"/>
        </w:rPr>
      </w:pPr>
      <w:bookmarkStart w:id="19" w:name="bookmark19"/>
      <w:r>
        <w:rPr>
          <w:color w:val="000000"/>
          <w:sz w:val="30"/>
          <w:szCs w:val="30"/>
        </w:rPr>
        <w:t>六</w:t>
      </w:r>
      <w:bookmarkEnd w:id="19"/>
      <w:r>
        <w:rPr>
          <w:color w:val="000000"/>
          <w:sz w:val="30"/>
          <w:szCs w:val="30"/>
        </w:rPr>
        <w:t>、</w:t>
      </w:r>
      <w:r>
        <w:rPr>
          <w:color w:val="000000"/>
          <w:sz w:val="30"/>
          <w:szCs w:val="30"/>
        </w:rPr>
        <w:tab/>
      </w:r>
      <w:r>
        <w:rPr>
          <w:color w:val="000000"/>
          <w:sz w:val="30"/>
          <w:szCs w:val="30"/>
        </w:rPr>
        <w:t>参赛作品要求</w:t>
      </w:r>
    </w:p>
    <w:p>
      <w:pPr>
        <w:pStyle w:val="16"/>
        <w:spacing w:line="561" w:lineRule="exact"/>
        <w:ind w:firstLine="640"/>
        <w:jc w:val="both"/>
      </w:pPr>
      <w:r>
        <w:rPr>
          <w:color w:val="000000"/>
        </w:rPr>
        <w:t>申报参赛的作品分为自然科学类学术论文、哲学社会科学类社会调查报告和学术论文、科技发明制作三类。自然科学类学术 论文作者限本科生、专科生。哲学社会科学类按照哲学、经济、 社会、法律、教育、管理</w:t>
      </w:r>
      <w:r>
        <w:rPr>
          <w:color w:val="000000"/>
          <w:sz w:val="32"/>
          <w:szCs w:val="32"/>
        </w:rPr>
        <w:t>6</w:t>
      </w:r>
      <w:r>
        <w:rPr>
          <w:color w:val="000000"/>
        </w:rPr>
        <w:t>个学科报送社会调查报告和学术论文。 科技发明制作类分为</w:t>
      </w:r>
      <w:r>
        <w:rPr>
          <w:color w:val="000000"/>
          <w:sz w:val="32"/>
          <w:szCs w:val="32"/>
          <w:lang w:val="en-US" w:eastAsia="zh-CN" w:bidi="en-US"/>
        </w:rPr>
        <w:t>A</w:t>
      </w:r>
      <w:r>
        <w:rPr>
          <w:color w:val="000000"/>
          <w:lang w:val="en-US" w:eastAsia="zh-CN" w:bidi="en-US"/>
        </w:rPr>
        <w:t>、</w:t>
      </w:r>
      <w:r>
        <w:rPr>
          <w:color w:val="000000"/>
          <w:sz w:val="32"/>
          <w:szCs w:val="32"/>
          <w:lang w:val="en-US" w:eastAsia="zh-CN" w:bidi="en-US"/>
        </w:rPr>
        <w:t>B</w:t>
      </w:r>
      <w:r>
        <w:rPr>
          <w:color w:val="000000"/>
        </w:rPr>
        <w:t>两类：</w:t>
      </w:r>
      <w:r>
        <w:rPr>
          <w:color w:val="000000"/>
          <w:sz w:val="32"/>
          <w:szCs w:val="32"/>
          <w:lang w:val="en-US" w:eastAsia="zh-CN" w:bidi="en-US"/>
        </w:rPr>
        <w:t>A</w:t>
      </w:r>
      <w:r>
        <w:rPr>
          <w:color w:val="000000"/>
        </w:rPr>
        <w:t>类指科技含量较高、制作投 入较大的作品；</w:t>
      </w:r>
      <w:r>
        <w:rPr>
          <w:color w:val="000000"/>
          <w:sz w:val="32"/>
          <w:szCs w:val="32"/>
          <w:lang w:val="en-US" w:eastAsia="zh-CN" w:bidi="en-US"/>
        </w:rPr>
        <w:t>B</w:t>
      </w:r>
      <w:r>
        <w:rPr>
          <w:color w:val="000000"/>
        </w:rPr>
        <w:t>类指投入较少，且为生产技术或社会生活带来 便利的小发明、小制作等。</w:t>
      </w:r>
    </w:p>
    <w:p>
      <w:pPr>
        <w:pStyle w:val="16"/>
        <w:spacing w:line="562" w:lineRule="exact"/>
        <w:ind w:firstLine="640"/>
        <w:jc w:val="both"/>
      </w:pPr>
      <w:r>
        <w:rPr>
          <w:color w:val="000000"/>
        </w:rPr>
        <w:t>参赛作品必须是</w:t>
      </w:r>
      <w:r>
        <w:rPr>
          <w:color w:val="000000"/>
          <w:sz w:val="32"/>
          <w:szCs w:val="32"/>
        </w:rPr>
        <w:t>2021</w:t>
      </w:r>
      <w:r>
        <w:rPr>
          <w:color w:val="000000"/>
        </w:rPr>
        <w:t>年</w:t>
      </w:r>
      <w:r>
        <w:rPr>
          <w:color w:val="000000"/>
          <w:sz w:val="32"/>
          <w:szCs w:val="32"/>
        </w:rPr>
        <w:t>6</w:t>
      </w:r>
      <w:r>
        <w:rPr>
          <w:color w:val="000000"/>
        </w:rPr>
        <w:t>月前</w:t>
      </w:r>
      <w:r>
        <w:rPr>
          <w:color w:val="000000"/>
          <w:sz w:val="32"/>
          <w:szCs w:val="32"/>
        </w:rPr>
        <w:t>2</w:t>
      </w:r>
      <w:r>
        <w:rPr>
          <w:color w:val="000000"/>
        </w:rPr>
        <w:t>年内完成的学生课外学术科技或社会实践活动成果，可分为个人和集体申报作品。参赛作 品必须于申报前将作品项目名称、参赛学生和指导教师等关键信 息在校内官方网站主页上进行不少于</w:t>
      </w:r>
      <w:r>
        <w:rPr>
          <w:color w:val="000000"/>
          <w:sz w:val="32"/>
          <w:szCs w:val="32"/>
        </w:rPr>
        <w:t>5</w:t>
      </w:r>
      <w:r>
        <w:rPr>
          <w:color w:val="000000"/>
        </w:rPr>
        <w:t>天的公示，并将公示截图 随作品一同报送。多个学校学生合作申报的项目，须注明学生、 学校信息并在学生所在学校均进行公示。毕业设计和课程设计 （论文）、学年论文和学位论文、国际竞赛获奖作品、获国家级 和省级奖励成果（含本竞赛主办单位参与举办的</w:t>
      </w:r>
      <w:r>
        <w:rPr>
          <w:rFonts w:hint="eastAsia"/>
          <w:color w:val="000000"/>
          <w:lang w:eastAsia="zh-CN"/>
        </w:rPr>
        <w:t>其他</w:t>
      </w:r>
      <w:r>
        <w:rPr>
          <w:color w:val="000000"/>
        </w:rPr>
        <w:t>省级竞赛的 获奖作品）等不在申报范围之列。</w:t>
      </w:r>
    </w:p>
    <w:p>
      <w:pPr>
        <w:pStyle w:val="16"/>
        <w:tabs>
          <w:tab w:val="left" w:pos="1281"/>
        </w:tabs>
        <w:spacing w:line="562" w:lineRule="exact"/>
        <w:ind w:firstLine="640"/>
        <w:jc w:val="both"/>
        <w:rPr>
          <w:sz w:val="30"/>
          <w:szCs w:val="30"/>
        </w:rPr>
      </w:pPr>
      <w:bookmarkStart w:id="20" w:name="bookmark20"/>
      <w:r>
        <w:rPr>
          <w:color w:val="000000"/>
          <w:sz w:val="30"/>
          <w:szCs w:val="30"/>
        </w:rPr>
        <w:t>七</w:t>
      </w:r>
      <w:bookmarkEnd w:id="20"/>
      <w:r>
        <w:rPr>
          <w:color w:val="000000"/>
          <w:sz w:val="30"/>
          <w:szCs w:val="30"/>
        </w:rPr>
        <w:t>、</w:t>
      </w:r>
      <w:r>
        <w:rPr>
          <w:color w:val="000000"/>
          <w:sz w:val="30"/>
          <w:szCs w:val="30"/>
        </w:rPr>
        <w:tab/>
      </w:r>
      <w:r>
        <w:rPr>
          <w:color w:val="000000"/>
          <w:sz w:val="30"/>
          <w:szCs w:val="30"/>
        </w:rPr>
        <w:t>评审章程、程序与奖励方式</w:t>
      </w:r>
    </w:p>
    <w:p>
      <w:pPr>
        <w:pStyle w:val="16"/>
        <w:spacing w:line="562" w:lineRule="exact"/>
        <w:ind w:firstLine="562" w:firstLineChars="200"/>
        <w:jc w:val="both"/>
      </w:pPr>
      <w:bookmarkStart w:id="21" w:name="bookmark21"/>
      <w:bookmarkEnd w:id="21"/>
      <w:r>
        <w:rPr>
          <w:rFonts w:hint="eastAsia"/>
          <w:b/>
          <w:bCs/>
          <w:color w:val="000000"/>
          <w:lang w:val="en-US" w:eastAsia="zh-CN"/>
        </w:rPr>
        <w:t>1.</w:t>
      </w:r>
      <w:r>
        <w:rPr>
          <w:b/>
          <w:bCs/>
          <w:color w:val="000000"/>
        </w:rPr>
        <w:t>评审章程。</w:t>
      </w:r>
      <w:r>
        <w:rPr>
          <w:color w:val="000000"/>
        </w:rPr>
        <w:t>本届</w:t>
      </w:r>
      <w:r>
        <w:rPr>
          <w:color w:val="000000"/>
          <w:lang w:val="zh-CN" w:eastAsia="zh-CN" w:bidi="zh-CN"/>
        </w:rPr>
        <w:t>“挑</w:t>
      </w:r>
      <w:r>
        <w:rPr>
          <w:color w:val="000000"/>
        </w:rPr>
        <w:t>战杯”竞赛章程及评审办法在参照《</w:t>
      </w:r>
      <w:r>
        <w:rPr>
          <w:color w:val="000000"/>
          <w:lang w:val="zh-CN" w:eastAsia="zh-CN" w:bidi="zh-CN"/>
        </w:rPr>
        <w:t>“挑</w:t>
      </w:r>
      <w:r>
        <w:rPr>
          <w:color w:val="000000"/>
        </w:rPr>
        <w:t>战杯”全国大学生课外学术科技作品竞赛章程》和《</w:t>
      </w:r>
      <w:r>
        <w:rPr>
          <w:color w:val="000000"/>
          <w:lang w:val="zh-CN" w:eastAsia="zh-CN" w:bidi="zh-CN"/>
        </w:rPr>
        <w:t xml:space="preserve">“挑 </w:t>
      </w:r>
      <w:r>
        <w:rPr>
          <w:color w:val="000000"/>
        </w:rPr>
        <w:t>战杯”全国大学生课外学术科技作品竞赛评审规则》基础上，结 合我省实际制定实施。</w:t>
      </w:r>
    </w:p>
    <w:p>
      <w:pPr>
        <w:pStyle w:val="16"/>
        <w:tabs>
          <w:tab w:val="left" w:pos="1123"/>
        </w:tabs>
        <w:spacing w:line="564" w:lineRule="exact"/>
        <w:ind w:firstLine="562" w:firstLineChars="200"/>
        <w:jc w:val="both"/>
      </w:pPr>
      <w:bookmarkStart w:id="22" w:name="bookmark22"/>
      <w:bookmarkEnd w:id="22"/>
      <w:r>
        <w:rPr>
          <w:rFonts w:hint="eastAsia"/>
          <w:b/>
          <w:bCs/>
          <w:color w:val="000000"/>
          <w:lang w:val="en-US" w:eastAsia="zh-CN"/>
        </w:rPr>
        <w:t>2.</w:t>
      </w:r>
      <w:r>
        <w:rPr>
          <w:b/>
          <w:bCs/>
          <w:color w:val="000000"/>
        </w:rPr>
        <w:t>评审程序。</w:t>
      </w:r>
      <w:r>
        <w:rPr>
          <w:color w:val="000000"/>
        </w:rPr>
        <w:t>各高校团委自行组织作品初评，竞赛组委会 负责对报送作品的初审，竞赛评审委员会负责复审、终审，并提出 奖励名单。评审以作品的科学性、先进性和现实意义为基本评判标 准。</w:t>
      </w:r>
    </w:p>
    <w:p>
      <w:pPr>
        <w:pStyle w:val="16"/>
        <w:tabs>
          <w:tab w:val="left" w:pos="1123"/>
        </w:tabs>
        <w:spacing w:line="564" w:lineRule="exact"/>
        <w:ind w:firstLine="562" w:firstLineChars="200"/>
        <w:jc w:val="both"/>
      </w:pPr>
      <w:bookmarkStart w:id="23" w:name="bookmark23"/>
      <w:bookmarkEnd w:id="23"/>
      <w:r>
        <w:rPr>
          <w:rFonts w:hint="eastAsia"/>
          <w:b/>
          <w:bCs/>
          <w:color w:val="000000"/>
          <w:lang w:val="en-US" w:eastAsia="zh-CN"/>
        </w:rPr>
        <w:t>3.</w:t>
      </w:r>
      <w:r>
        <w:rPr>
          <w:b/>
          <w:bCs/>
          <w:color w:val="000000"/>
        </w:rPr>
        <w:t>奖励方式。</w:t>
      </w:r>
      <w:r>
        <w:rPr>
          <w:color w:val="000000"/>
        </w:rPr>
        <w:t>本次竞赛将评选入围获奖作品的</w:t>
      </w:r>
      <w:r>
        <w:rPr>
          <w:color w:val="000000"/>
          <w:sz w:val="32"/>
          <w:szCs w:val="32"/>
        </w:rPr>
        <w:t>35%</w:t>
      </w:r>
      <w:r>
        <w:rPr>
          <w:color w:val="000000"/>
        </w:rPr>
        <w:t>进入终审决赛。参赛的自然科学类学术论文、哲学社会科学类社会调查 报告和学术论文、科技发明制作三类作品各设特等奖、一等奖、二等奖、三等奖。各等次奖分别约占各类入围作品总数的</w:t>
      </w:r>
      <w:r>
        <w:rPr>
          <w:color w:val="000000"/>
          <w:sz w:val="32"/>
          <w:szCs w:val="32"/>
        </w:rPr>
        <w:t>3%</w:t>
      </w:r>
      <w:r>
        <w:rPr>
          <w:color w:val="000000"/>
        </w:rPr>
        <w:t xml:space="preserve">、 </w:t>
      </w:r>
      <w:r>
        <w:rPr>
          <w:color w:val="000000"/>
          <w:sz w:val="32"/>
          <w:szCs w:val="32"/>
        </w:rPr>
        <w:t>8%</w:t>
      </w:r>
      <w:r>
        <w:rPr>
          <w:color w:val="000000"/>
        </w:rPr>
        <w:t>、</w:t>
      </w:r>
      <w:r>
        <w:rPr>
          <w:color w:val="000000"/>
          <w:sz w:val="32"/>
          <w:szCs w:val="32"/>
        </w:rPr>
        <w:t>24%</w:t>
      </w:r>
      <w:r>
        <w:rPr>
          <w:color w:val="000000"/>
        </w:rPr>
        <w:t>和</w:t>
      </w:r>
      <w:r>
        <w:rPr>
          <w:color w:val="000000"/>
          <w:sz w:val="32"/>
          <w:szCs w:val="32"/>
        </w:rPr>
        <w:t>65%</w:t>
      </w:r>
      <w:r>
        <w:rPr>
          <w:color w:val="000000"/>
        </w:rPr>
        <w:t>。竞赛以学校为单位计算团体总分排名，授予团 体总分第一名的学校</w:t>
      </w:r>
      <w:r>
        <w:rPr>
          <w:color w:val="000000"/>
          <w:lang w:val="zh-CN" w:eastAsia="zh-CN" w:bidi="zh-CN"/>
        </w:rPr>
        <w:t>“挑</w:t>
      </w:r>
      <w:r>
        <w:rPr>
          <w:color w:val="000000"/>
        </w:rPr>
        <w:t>战杯”奖励，授予团体总分第二至第十 一名的学校</w:t>
      </w:r>
      <w:r>
        <w:rPr>
          <w:color w:val="000000"/>
          <w:lang w:val="zh-CN" w:eastAsia="zh-CN" w:bidi="zh-CN"/>
        </w:rPr>
        <w:t>“优</w:t>
      </w:r>
      <w:r>
        <w:rPr>
          <w:color w:val="000000"/>
        </w:rPr>
        <w:t>胜杯”奖励，并设若干优秀组织奖、优秀指导教 师等奖项。同时，组委会将组织优秀作品展示和作品成果转让洽 谈，开展学生课外学术科技校际交流等活动，进一步推进</w:t>
      </w:r>
      <w:r>
        <w:rPr>
          <w:color w:val="000000"/>
          <w:lang w:val="zh-CN" w:eastAsia="zh-CN" w:bidi="zh-CN"/>
        </w:rPr>
        <w:t xml:space="preserve">“挑战 </w:t>
      </w:r>
      <w:r>
        <w:rPr>
          <w:color w:val="000000"/>
        </w:rPr>
        <w:t>杯”获奖成果转化。</w:t>
      </w:r>
    </w:p>
    <w:p>
      <w:pPr>
        <w:pStyle w:val="16"/>
        <w:spacing w:line="564" w:lineRule="exact"/>
        <w:ind w:firstLine="640"/>
        <w:jc w:val="both"/>
        <w:rPr>
          <w:sz w:val="30"/>
          <w:szCs w:val="30"/>
        </w:rPr>
      </w:pPr>
      <w:bookmarkStart w:id="24" w:name="bookmark24"/>
      <w:r>
        <w:rPr>
          <w:color w:val="000000"/>
          <w:sz w:val="30"/>
          <w:szCs w:val="30"/>
        </w:rPr>
        <w:t>八</w:t>
      </w:r>
      <w:bookmarkEnd w:id="24"/>
      <w:r>
        <w:rPr>
          <w:color w:val="000000"/>
          <w:sz w:val="30"/>
          <w:szCs w:val="30"/>
        </w:rPr>
        <w:t>、工作要求</w:t>
      </w:r>
    </w:p>
    <w:p>
      <w:pPr>
        <w:pStyle w:val="16"/>
        <w:numPr>
          <w:ilvl w:val="0"/>
          <w:numId w:val="4"/>
        </w:numPr>
        <w:tabs>
          <w:tab w:val="left" w:pos="975"/>
        </w:tabs>
        <w:spacing w:line="564" w:lineRule="exact"/>
        <w:ind w:firstLine="640"/>
        <w:jc w:val="both"/>
      </w:pPr>
      <w:bookmarkStart w:id="25" w:name="bookmark25"/>
      <w:bookmarkEnd w:id="25"/>
      <w:r>
        <w:rPr>
          <w:b/>
          <w:bCs/>
          <w:color w:val="000000"/>
        </w:rPr>
        <w:t>健全机构，加强领导。</w:t>
      </w:r>
      <w:r>
        <w:rPr>
          <w:color w:val="000000"/>
        </w:rPr>
        <w:t>要组成由本校主管领导牵头，团委、教务、科研等部门和学生会、研究生会共同参加的组织协调机构</w:t>
      </w:r>
      <w:r>
        <w:rPr>
          <w:rFonts w:hint="eastAsia"/>
          <w:color w:val="000000"/>
          <w:lang w:eastAsia="zh-CN"/>
        </w:rPr>
        <w:t>，</w:t>
      </w:r>
      <w:r>
        <w:rPr>
          <w:color w:val="000000"/>
        </w:rPr>
        <w:t>做好竞赛组织的有关工作。</w:t>
      </w:r>
    </w:p>
    <w:p>
      <w:pPr>
        <w:pStyle w:val="16"/>
        <w:numPr>
          <w:ilvl w:val="0"/>
          <w:numId w:val="4"/>
        </w:numPr>
        <w:tabs>
          <w:tab w:val="left" w:pos="970"/>
        </w:tabs>
        <w:spacing w:line="566" w:lineRule="exact"/>
        <w:ind w:firstLine="640"/>
        <w:jc w:val="both"/>
      </w:pPr>
      <w:bookmarkStart w:id="26" w:name="bookmark26"/>
      <w:bookmarkEnd w:id="26"/>
      <w:r>
        <w:rPr>
          <w:b/>
          <w:bCs/>
          <w:color w:val="000000"/>
        </w:rPr>
        <w:t>深入发动，精心组织。</w:t>
      </w:r>
      <w:r>
        <w:rPr>
          <w:color w:val="000000"/>
        </w:rPr>
        <w:t>要突出竞赛的学术性、科技性和普遍性，完善校赛机制。在校级竞赛阶段，要通过设立专门机构、 完善保障政策、运用媒体手段等方式，发布竞赛消息，接受学生咨询，进行广泛动员，使更多的学生参与到竞赛中来。要坚决杜 绝以学校科研项目冒充学生作品的现象，如有发现将严肃处理。 要坚持选拔与培养并重的原则，对于未进入省级竞赛的作品要进 行研究思路和研究方法的指导，帮助参赛学生提高科研能力。有 条件的高校可对重点项目在经费和指导力量上给予支持。</w:t>
      </w:r>
    </w:p>
    <w:p>
      <w:pPr>
        <w:pStyle w:val="16"/>
        <w:tabs>
          <w:tab w:val="left" w:pos="807"/>
        </w:tabs>
        <w:spacing w:line="562" w:lineRule="exact"/>
        <w:ind w:firstLine="562" w:firstLineChars="200"/>
        <w:jc w:val="both"/>
      </w:pPr>
      <w:bookmarkStart w:id="27" w:name="bookmark27"/>
      <w:bookmarkEnd w:id="27"/>
      <w:r>
        <w:rPr>
          <w:rFonts w:hint="eastAsia"/>
          <w:b/>
          <w:bCs/>
          <w:color w:val="000000"/>
          <w:lang w:val="en-US" w:eastAsia="zh-CN"/>
        </w:rPr>
        <w:t>3.</w:t>
      </w:r>
      <w:r>
        <w:rPr>
          <w:b/>
          <w:bCs/>
          <w:color w:val="000000"/>
        </w:rPr>
        <w:t>坚持宗旨，完善机制。</w:t>
      </w:r>
      <w:r>
        <w:rPr>
          <w:color w:val="000000"/>
        </w:rPr>
        <w:t>要坚持育人宗旨，把人才培养作为</w:t>
      </w:r>
      <w:r>
        <w:rPr>
          <w:color w:val="000000"/>
          <w:lang w:val="zh-CN" w:eastAsia="zh-CN" w:bidi="zh-CN"/>
        </w:rPr>
        <w:t>“挑</w:t>
      </w:r>
      <w:r>
        <w:rPr>
          <w:color w:val="000000"/>
        </w:rPr>
        <w:t>战杯”竞赛的首要目标，不断完善创新人才培养模式和创新型人才激励机制；要建立直属的专门组织或社团，负责学生科技 活动的组织工作，制定长期规划，保证活动的经常性开展。有条 件的地区和高校可设立学生学术科技活动基金，制定学生参与学 术科技活动奖励办法，更好地扶持、激励学生参与课外学术科技 活动；设立指导教师人才库，将指导教师的工作计入教学工作量</w:t>
      </w:r>
      <w:r>
        <w:rPr>
          <w:rFonts w:hint="eastAsia"/>
          <w:color w:val="000000"/>
          <w:lang w:eastAsia="zh-CN"/>
        </w:rPr>
        <w:t>；</w:t>
      </w:r>
      <w:r>
        <w:rPr>
          <w:color w:val="000000"/>
        </w:rPr>
        <w:t xml:space="preserve"> 尝试建立参赛作品转化服务机制，争取本地各类科技园区、工业 园区、高新技术园区等支持，为参赛和获奖项目的转化提供服务</w:t>
      </w:r>
      <w:r>
        <w:rPr>
          <w:rFonts w:hint="eastAsia"/>
          <w:color w:val="000000"/>
          <w:lang w:eastAsia="zh-CN"/>
        </w:rPr>
        <w:t>，</w:t>
      </w:r>
      <w:r>
        <w:rPr>
          <w:color w:val="000000"/>
        </w:rPr>
        <w:t xml:space="preserve"> 推动学生科技成果与市场、资本等方面实现更加紧密、有效结合。</w:t>
      </w:r>
    </w:p>
    <w:p>
      <w:pPr>
        <w:pStyle w:val="16"/>
        <w:tabs>
          <w:tab w:val="left" w:pos="975"/>
        </w:tabs>
        <w:spacing w:after="540" w:line="562" w:lineRule="exact"/>
        <w:ind w:firstLine="562" w:firstLineChars="200"/>
        <w:jc w:val="both"/>
      </w:pPr>
      <w:bookmarkStart w:id="28" w:name="bookmark28"/>
      <w:bookmarkEnd w:id="28"/>
      <w:r>
        <w:rPr>
          <w:rFonts w:hint="eastAsia"/>
          <w:b/>
          <w:bCs/>
          <w:color w:val="000000"/>
          <w:lang w:val="en-US" w:eastAsia="zh-CN"/>
        </w:rPr>
        <w:t>4.</w:t>
      </w:r>
      <w:r>
        <w:rPr>
          <w:b/>
          <w:bCs/>
          <w:color w:val="000000"/>
        </w:rPr>
        <w:t>加强宣传，扩大影响。</w:t>
      </w:r>
      <w:r>
        <w:rPr>
          <w:color w:val="000000"/>
        </w:rPr>
        <w:t>要积极协调各类新闻媒体，全方位、多层次、有重点地做好竞赛的宣传工作，使</w:t>
      </w:r>
      <w:r>
        <w:rPr>
          <w:color w:val="000000"/>
          <w:lang w:val="zh-CN" w:eastAsia="zh-CN" w:bidi="zh-CN"/>
        </w:rPr>
        <w:t>“挑</w:t>
      </w:r>
      <w:r>
        <w:rPr>
          <w:color w:val="000000"/>
        </w:rPr>
        <w:t>战杯”的品牌在 高校中和社会上产生更为广泛、深远的影响。要注重做好竞赛的 前期宣传工作，为竞赛组织发动和有序开展打好基础。要广泛宣传竞赛中涌现的典型事迹和典型人物，引导和激励更多高校学生 积极投身学术科技创新实践。为深入学习贯彻习近平总书记湖南 考察重要讲话精神，贯彻落实省委十一届十一次、十二次全会精神，助力实施</w:t>
      </w:r>
      <w:r>
        <w:rPr>
          <w:color w:val="000000"/>
          <w:lang w:val="zh-CN" w:eastAsia="zh-CN" w:bidi="zh-CN"/>
        </w:rPr>
        <w:t>“三高</w:t>
      </w:r>
      <w:r>
        <w:rPr>
          <w:color w:val="000000"/>
        </w:rPr>
        <w:t>四新”战略，引导全省高校青年师生坚定理想信念、传承红色基因，组委会将在第十四届</w:t>
      </w:r>
      <w:r>
        <w:rPr>
          <w:color w:val="000000"/>
          <w:lang w:val="zh-CN" w:eastAsia="zh-CN" w:bidi="zh-CN"/>
        </w:rPr>
        <w:t>“挑</w:t>
      </w:r>
      <w:r>
        <w:rPr>
          <w:color w:val="000000"/>
        </w:rPr>
        <w:t>战杯”湖南省 大学生课外学术科技作品竞赛框架下举办红色专项活动，并评选表彰一批优秀作品。</w:t>
      </w:r>
    </w:p>
    <w:p>
      <w:pPr>
        <w:pStyle w:val="16"/>
        <w:spacing w:line="571" w:lineRule="exact"/>
        <w:ind w:left="1600" w:hanging="960"/>
        <w:jc w:val="both"/>
      </w:pPr>
      <w:r>
        <w:rPr>
          <w:color w:val="000000"/>
        </w:rPr>
        <w:t>附件：</w:t>
      </w:r>
      <w:r>
        <w:rPr>
          <w:color w:val="000000"/>
          <w:sz w:val="32"/>
          <w:szCs w:val="32"/>
        </w:rPr>
        <w:t>1</w:t>
      </w:r>
      <w:r>
        <w:rPr>
          <w:color w:val="000000"/>
        </w:rPr>
        <w:t>.第十四届</w:t>
      </w:r>
      <w:r>
        <w:rPr>
          <w:color w:val="000000"/>
          <w:lang w:val="zh-CN" w:eastAsia="zh-CN" w:bidi="zh-CN"/>
        </w:rPr>
        <w:t>“挑</w:t>
      </w:r>
      <w:r>
        <w:rPr>
          <w:color w:val="000000"/>
        </w:rPr>
        <w:t>战杯”湖南省大学生课外学术科技作品竞赛章程</w:t>
      </w:r>
    </w:p>
    <w:p>
      <w:pPr>
        <w:pStyle w:val="16"/>
        <w:numPr>
          <w:ilvl w:val="0"/>
          <w:numId w:val="5"/>
        </w:numPr>
        <w:tabs>
          <w:tab w:val="left" w:pos="2011"/>
        </w:tabs>
        <w:spacing w:after="160" w:line="581" w:lineRule="exact"/>
        <w:ind w:left="1600" w:firstLine="0"/>
      </w:pPr>
      <w:bookmarkStart w:id="29" w:name="bookmark29"/>
      <w:bookmarkEnd w:id="29"/>
      <w:r>
        <w:rPr>
          <w:color w:val="000000"/>
        </w:rPr>
        <w:t>第十四届</w:t>
      </w:r>
      <w:r>
        <w:rPr>
          <w:color w:val="000000"/>
          <w:lang w:val="zh-CN" w:eastAsia="zh-CN" w:bidi="zh-CN"/>
        </w:rPr>
        <w:t>“挑</w:t>
      </w:r>
      <w:r>
        <w:rPr>
          <w:color w:val="000000"/>
        </w:rPr>
        <w:t>战杯”湖南省大学生课外学术科技作品竞赛评审规则</w:t>
      </w:r>
    </w:p>
    <w:p>
      <w:pPr>
        <w:pStyle w:val="16"/>
        <w:numPr>
          <w:ilvl w:val="0"/>
          <w:numId w:val="5"/>
        </w:numPr>
        <w:tabs>
          <w:tab w:val="left" w:pos="2011"/>
        </w:tabs>
        <w:spacing w:line="240" w:lineRule="auto"/>
        <w:ind w:left="1600" w:firstLine="0"/>
      </w:pPr>
      <w:bookmarkStart w:id="30" w:name="bookmark30"/>
      <w:bookmarkEnd w:id="30"/>
      <w:r>
        <w:rPr>
          <w:color w:val="000000"/>
        </w:rPr>
        <w:t>哲学社会科学类参赛作品参考指引</w:t>
      </w:r>
    </w:p>
    <w:p>
      <w:pPr>
        <w:pStyle w:val="16"/>
        <w:numPr>
          <w:ilvl w:val="0"/>
          <w:numId w:val="5"/>
        </w:numPr>
        <w:tabs>
          <w:tab w:val="left" w:pos="2026"/>
        </w:tabs>
        <w:spacing w:line="569" w:lineRule="exact"/>
        <w:ind w:left="1600" w:firstLine="0"/>
      </w:pPr>
      <w:bookmarkStart w:id="31" w:name="bookmark31"/>
      <w:bookmarkEnd w:id="31"/>
      <w:r>
        <w:rPr>
          <w:color w:val="000000"/>
        </w:rPr>
        <w:t>第十四届</w:t>
      </w:r>
      <w:r>
        <w:rPr>
          <w:color w:val="000000"/>
          <w:lang w:val="zh-CN" w:eastAsia="zh-CN" w:bidi="zh-CN"/>
        </w:rPr>
        <w:t>“挑</w:t>
      </w:r>
      <w:r>
        <w:rPr>
          <w:color w:val="000000"/>
        </w:rPr>
        <w:t>战杯”湖南省大学生课外学术科技作品竞赛校级赛事组织得分实施细则（试行）</w:t>
      </w:r>
    </w:p>
    <w:p>
      <w:pPr>
        <w:pStyle w:val="16"/>
        <w:spacing w:after="160" w:line="542" w:lineRule="exact"/>
        <w:ind w:left="640" w:firstLine="0"/>
        <w:jc w:val="both"/>
        <w:rPr>
          <w:color w:val="000000"/>
        </w:rPr>
      </w:pPr>
      <w:bookmarkStart w:id="32" w:name="bookmark32"/>
      <w:bookmarkEnd w:id="32"/>
    </w:p>
    <w:p>
      <w:pPr>
        <w:pStyle w:val="16"/>
        <w:spacing w:after="160" w:line="542" w:lineRule="exact"/>
        <w:ind w:left="640" w:firstLine="0"/>
        <w:jc w:val="both"/>
        <w:rPr>
          <w:color w:val="000000"/>
          <w:sz w:val="32"/>
          <w:szCs w:val="32"/>
          <w:lang w:val="en-US" w:eastAsia="zh-CN" w:bidi="en-US"/>
        </w:rPr>
      </w:pPr>
      <w:r>
        <w:rPr>
          <w:color w:val="000000"/>
        </w:rPr>
        <w:t>联系人：李言蹊</w:t>
      </w:r>
      <w:r>
        <w:rPr>
          <w:rFonts w:hint="eastAsia"/>
          <w:color w:val="000000"/>
          <w:lang w:val="en-US" w:eastAsia="zh-CN"/>
        </w:rPr>
        <w:t xml:space="preserve"> </w:t>
      </w:r>
      <w:r>
        <w:rPr>
          <w:color w:val="000000"/>
        </w:rPr>
        <w:t>何立志 联系电话：</w:t>
      </w:r>
      <w:r>
        <w:rPr>
          <w:color w:val="000000"/>
          <w:sz w:val="32"/>
          <w:szCs w:val="32"/>
          <w:lang w:val="en-US" w:eastAsia="zh-CN" w:bidi="en-US"/>
        </w:rPr>
        <w:t>0731</w:t>
      </w:r>
      <w:r>
        <w:rPr>
          <w:rFonts w:ascii="Times New Roman" w:hAnsi="Times New Roman" w:eastAsia="Times New Roman" w:cs="Times New Roman"/>
          <w:color w:val="000000"/>
          <w:sz w:val="30"/>
          <w:szCs w:val="30"/>
          <w:lang w:val="en-US" w:eastAsia="zh-CN" w:bidi="en-US"/>
        </w:rPr>
        <w:t>—</w:t>
      </w:r>
      <w:r>
        <w:rPr>
          <w:color w:val="000000"/>
          <w:sz w:val="32"/>
          <w:szCs w:val="32"/>
          <w:lang w:val="en-US" w:eastAsia="zh-CN" w:bidi="en-US"/>
        </w:rPr>
        <w:t xml:space="preserve">88776806 </w:t>
      </w:r>
    </w:p>
    <w:p>
      <w:pPr>
        <w:pStyle w:val="16"/>
        <w:spacing w:after="160" w:line="542" w:lineRule="exact"/>
        <w:ind w:firstLine="786" w:firstLineChars="281"/>
        <w:jc w:val="both"/>
        <w:rPr>
          <w:sz w:val="32"/>
          <w:szCs w:val="32"/>
        </w:rPr>
      </w:pPr>
      <w:r>
        <w:rPr>
          <w:rStyle w:val="17"/>
          <w:sz w:val="28"/>
          <w:szCs w:val="28"/>
        </w:rPr>
        <w:t>电子邮箱：</w:t>
      </w:r>
      <w:r>
        <w:fldChar w:fldCharType="begin"/>
      </w:r>
      <w:r>
        <w:instrText xml:space="preserve"> HYPERLINK "mailto:hnstzb2021@163.com" </w:instrText>
      </w:r>
      <w:r>
        <w:fldChar w:fldCharType="separate"/>
      </w:r>
      <w:r>
        <w:rPr>
          <w:rStyle w:val="17"/>
          <w:lang w:val="en-US" w:eastAsia="zh-CN" w:bidi="en-US"/>
        </w:rPr>
        <w:t>hnstzb2021@163.com</w:t>
      </w:r>
      <w:r>
        <w:rPr>
          <w:rStyle w:val="17"/>
          <w:lang w:val="en-US" w:eastAsia="zh-CN" w:bidi="en-US"/>
        </w:rPr>
        <w:fldChar w:fldCharType="end"/>
      </w:r>
    </w:p>
    <w:p>
      <w:pPr>
        <w:pStyle w:val="18"/>
        <w:spacing w:after="0"/>
        <w:ind w:left="0" w:firstLine="640"/>
        <w:jc w:val="both"/>
      </w:pPr>
      <w:r>
        <w:rPr>
          <w:color w:val="000000"/>
          <w:sz w:val="28"/>
          <w:szCs w:val="28"/>
        </w:rPr>
        <w:t>邮 编：</w:t>
      </w:r>
      <w:r>
        <w:rPr>
          <w:color w:val="000000"/>
        </w:rPr>
        <w:t xml:space="preserve">410004 </w:t>
      </w:r>
      <w:r>
        <w:pict>
          <v:shape id="Shape 5" o:spid="_x0000_s1027" o:spt="202" type="#_x0000_t202" style="position:absolute;left:0pt;margin-left:386.05pt;margin-top:80.3pt;height:23.05pt;width:97.7pt;mso-position-horizontal-relative:page;z-index:251663360;mso-width-relative:page;mso-height-relative:page;" filled="f" stroked="f" coordsize="21600,21600" o:gfxdata="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PgfH/aAAAACwEAAA8AAAAAAAAAAQAgAAAAIgAAAGRycy9kb3ducmV2LnhtbFBLAQIUABQAAAAI&#10;AIdO4kA+CgHEsgEAAIoDAAAOAAAAAAAAAAEAIAAAACkBAABkcnMvZTJvRG9jLnhtbFBLBQYAAAAA&#10;BgAGAFkBAABNBQAAAAA=&#10;">
            <v:path/>
            <v:fill on="f" focussize="0,0"/>
            <v:stroke on="f" joinstyle="miter"/>
            <v:imagedata o:title=""/>
            <o:lock v:ext="edit"/>
            <v:textbox inset="0mm,0mm,0mm,0mm">
              <w:txbxContent>
                <w:p>
                  <w:pPr>
                    <w:pStyle w:val="21"/>
                  </w:pPr>
                  <w:r>
                    <w:rPr>
                      <w:color w:val="000000"/>
                    </w:rPr>
                    <w:t>团省委学校部</w:t>
                  </w:r>
                </w:p>
              </w:txbxContent>
            </v:textbox>
          </v:shape>
        </w:pict>
      </w:r>
    </w:p>
    <w:p>
      <w:pPr>
        <w:spacing w:line="1" w:lineRule="exact"/>
        <w:rPr>
          <w:color w:val="000000"/>
        </w:rPr>
      </w:pPr>
      <w:r>
        <w:pict>
          <v:shape id="Shape 1" o:spid="_x0000_s1026" o:spt="202" type="#_x0000_t202" style="position:absolute;left:0pt;margin-left:110.9pt;margin-top:2pt;height:20.15pt;width:275.75pt;mso-position-horizontal-relative:page;mso-wrap-distance-bottom:104.65pt;mso-wrap-distance-top:2pt;mso-wrap-style:none;z-index:251663360;mso-width-relative:page;mso-height-relative:page;" filled="f" stroked="f" coordsize="21600,21600" o:gfxdata="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uNQ+tUAAAAIAQAADwAAAAAAAAABACAAAAAiAAAAZHJzL2Rvd25yZXYueG1sUEsBAhQAFAAA&#10;AAgAh07iQHdvAZu5AQAAlgMAAA4AAAAAAAAAAQAgAAAAJAEAAGRycy9lMm9Eb2MueG1sUEsFBgAA&#10;AAAGAAYAWQEAAE8FAAAAAA==&#10;">
            <v:path/>
            <v:fill on="f" focussize="0,0"/>
            <v:stroke on="f" joinstyle="miter"/>
            <v:imagedata o:title=""/>
            <o:lock v:ext="edit"/>
            <v:textbox inset="0mm,0mm,0mm,0mm">
              <w:txbxContent>
                <w:p>
                  <w:pPr>
                    <w:pStyle w:val="16"/>
                    <w:spacing w:line="240" w:lineRule="auto"/>
                    <w:ind w:firstLine="0"/>
                  </w:pPr>
                  <w:r>
                    <w:rPr>
                      <w:color w:val="000000"/>
                    </w:rPr>
                    <w:t>地 址：长沙市天心区湘府西路</w:t>
                  </w:r>
                  <w:r>
                    <w:rPr>
                      <w:color w:val="000000"/>
                      <w:sz w:val="32"/>
                      <w:szCs w:val="32"/>
                    </w:rPr>
                    <w:t>1</w:t>
                  </w:r>
                  <w:r>
                    <w:rPr>
                      <w:color w:val="000000"/>
                    </w:rPr>
                    <w:t>号</w:t>
                  </w:r>
                </w:p>
              </w:txbxContent>
            </v:textbox>
            <w10:wrap type="topAndBottom"/>
          </v:shape>
        </w:pict>
      </w:r>
      <w:r>
        <w:rPr>
          <w:lang w:val="en-US" w:bidi="ar-SA"/>
        </w:rPr>
        <w:drawing>
          <wp:anchor distT="171450" distB="0" distL="0" distR="0" simplePos="0" relativeHeight="251662336" behindDoc="0" locked="0" layoutInCell="1" allowOverlap="1">
            <wp:simplePos x="0" y="0"/>
            <wp:positionH relativeFrom="page">
              <wp:posOffset>4855845</wp:posOffset>
            </wp:positionH>
            <wp:positionV relativeFrom="paragraph">
              <wp:posOffset>171450</wp:posOffset>
            </wp:positionV>
            <wp:extent cx="1432560" cy="1438910"/>
            <wp:effectExtent l="1905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13" cstate="print"/>
                    <a:stretch>
                      <a:fillRect/>
                    </a:stretch>
                  </pic:blipFill>
                  <pic:spPr>
                    <a:xfrm>
                      <a:off x="0" y="0"/>
                      <a:ext cx="1432560" cy="1438910"/>
                    </a:xfrm>
                    <a:prstGeom prst="rect">
                      <a:avLst/>
                    </a:prstGeom>
                  </pic:spPr>
                </pic:pic>
              </a:graphicData>
            </a:graphic>
          </wp:anchor>
        </w:drawing>
      </w: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ind w:left="440" w:leftChars="200"/>
        <w:jc w:val="both"/>
        <w:rPr>
          <w:color w:val="000000"/>
          <w:lang w:val="en-US" w:eastAsia="zh-CN"/>
        </w:rPr>
      </w:pPr>
    </w:p>
    <w:p>
      <w:pPr>
        <w:pStyle w:val="14"/>
        <w:keepNext/>
        <w:keepLines/>
        <w:spacing w:after="0" w:line="240" w:lineRule="auto"/>
        <w:jc w:val="both"/>
        <w:rPr>
          <w:color w:val="000000"/>
          <w:lang w:val="en-US" w:eastAsia="zh-CN"/>
        </w:rPr>
      </w:pPr>
    </w:p>
    <w:p>
      <w:pPr>
        <w:pStyle w:val="14"/>
        <w:keepNext/>
        <w:keepLines/>
        <w:pageBreakBefore/>
        <w:spacing w:after="0" w:line="240" w:lineRule="auto"/>
        <w:jc w:val="both"/>
        <w:rPr>
          <w:color w:val="000000"/>
        </w:rPr>
      </w:pPr>
      <w:r>
        <w:rPr>
          <w:rFonts w:hint="eastAsia"/>
          <w:color w:val="000000"/>
          <w:lang w:val="en-US" w:eastAsia="zh-CN"/>
        </w:rPr>
        <w:t xml:space="preserve"> </w:t>
      </w:r>
      <w:r>
        <w:rPr>
          <w:color w:val="000000"/>
        </w:rPr>
        <w:t>第十四届</w:t>
      </w:r>
      <w:r>
        <w:rPr>
          <w:color w:val="000000"/>
          <w:lang w:val="zh-CN" w:eastAsia="zh-CN" w:bidi="zh-CN"/>
        </w:rPr>
        <w:t>“挑</w:t>
      </w:r>
      <w:r>
        <w:rPr>
          <w:color w:val="000000"/>
        </w:rPr>
        <w:t>战杯</w:t>
      </w:r>
      <w:r>
        <w:rPr>
          <w:color w:val="000000"/>
          <w:lang w:val="zh-CN" w:eastAsia="zh-CN" w:bidi="zh-CN"/>
        </w:rPr>
        <w:t>”湖南</w:t>
      </w:r>
      <w:r>
        <w:rPr>
          <w:color w:val="000000"/>
        </w:rPr>
        <w:t>省大学生课外学术</w:t>
      </w:r>
    </w:p>
    <w:p>
      <w:pPr>
        <w:pStyle w:val="14"/>
        <w:keepNext/>
        <w:keepLines/>
        <w:spacing w:after="0" w:line="240" w:lineRule="auto"/>
        <w:ind w:left="880" w:hanging="880" w:hangingChars="200"/>
      </w:pPr>
      <w:r>
        <w:rPr>
          <w:color w:val="000000"/>
        </w:rPr>
        <w:t>科技作品竞赛章程</w:t>
      </w:r>
    </w:p>
    <w:p>
      <w:pPr>
        <w:pStyle w:val="16"/>
        <w:spacing w:after="560" w:line="560" w:lineRule="exact"/>
        <w:ind w:firstLine="0"/>
        <w:jc w:val="center"/>
        <w:rPr>
          <w:b/>
          <w:bCs/>
          <w:color w:val="000000"/>
        </w:rPr>
      </w:pPr>
      <w:r>
        <w:rPr>
          <w:b/>
          <w:bCs/>
          <w:color w:val="000000"/>
        </w:rPr>
        <w:t>（草案）</w:t>
      </w:r>
    </w:p>
    <w:p>
      <w:pPr>
        <w:pStyle w:val="16"/>
        <w:spacing w:after="560" w:line="560" w:lineRule="exact"/>
        <w:ind w:firstLine="0"/>
        <w:jc w:val="center"/>
        <w:rPr>
          <w:sz w:val="30"/>
          <w:szCs w:val="30"/>
        </w:rPr>
      </w:pPr>
      <w:r>
        <w:rPr>
          <w:color w:val="000000"/>
          <w:sz w:val="30"/>
          <w:szCs w:val="30"/>
        </w:rPr>
        <w:t>第一章总则</w:t>
      </w:r>
    </w:p>
    <w:p>
      <w:pPr>
        <w:pStyle w:val="16"/>
        <w:spacing w:line="571" w:lineRule="exact"/>
        <w:ind w:firstLine="640"/>
        <w:jc w:val="both"/>
      </w:pPr>
      <w:r>
        <w:rPr>
          <w:color w:val="000000"/>
          <w:sz w:val="30"/>
          <w:szCs w:val="30"/>
        </w:rPr>
        <w:t xml:space="preserve">第一条 </w:t>
      </w:r>
      <w:r>
        <w:rPr>
          <w:color w:val="000000"/>
          <w:lang w:val="zh-CN" w:eastAsia="zh-CN" w:bidi="zh-CN"/>
        </w:rPr>
        <w:t>“挑</w:t>
      </w:r>
      <w:r>
        <w:rPr>
          <w:color w:val="000000"/>
        </w:rPr>
        <w:t>战杯”湖南省大学生课外学术科技作品竞赛是一项具有导向性、示范性和群众性的竞赛活动，每两年举办一届。</w:t>
      </w:r>
    </w:p>
    <w:p>
      <w:pPr>
        <w:pStyle w:val="16"/>
        <w:spacing w:line="581" w:lineRule="exact"/>
        <w:ind w:firstLine="640"/>
        <w:jc w:val="both"/>
      </w:pPr>
      <w:r>
        <w:rPr>
          <w:color w:val="000000"/>
          <w:sz w:val="30"/>
          <w:szCs w:val="30"/>
        </w:rPr>
        <w:t xml:space="preserve">第二条 </w:t>
      </w:r>
      <w:r>
        <w:rPr>
          <w:color w:val="000000"/>
        </w:rPr>
        <w:t>竞赛的宗旨：崇尚科学、追求真知、勤奋学习、锐意创新、迎接挑战。</w:t>
      </w:r>
    </w:p>
    <w:p>
      <w:pPr>
        <w:pStyle w:val="16"/>
        <w:spacing w:line="560" w:lineRule="exact"/>
        <w:ind w:firstLine="640"/>
        <w:jc w:val="both"/>
      </w:pPr>
      <w:r>
        <w:rPr>
          <w:color w:val="000000"/>
          <w:sz w:val="30"/>
          <w:szCs w:val="30"/>
        </w:rPr>
        <w:t xml:space="preserve">第三条 </w:t>
      </w:r>
      <w:r>
        <w:rPr>
          <w:color w:val="000000"/>
        </w:rPr>
        <w:t>竞赛的目的：引导和激励高校学生实事求是、刻苦钻研、勇于创新、多出成果、提高素质，培养学生创新精神和实 践能力，并在此基础上促进高校学生课外学术科技活动的蓬勃开 展，发现和培养一批在学术科技上有作为、有潜力的优秀人才。 鼓励学以致用，推动产学研融合互促，紧密围绕创新驱动发展战 略，服务国家经济、政治、文化、社会、生态文明建设。</w:t>
      </w:r>
    </w:p>
    <w:p>
      <w:pPr>
        <w:pStyle w:val="16"/>
        <w:spacing w:after="520" w:line="560" w:lineRule="exact"/>
        <w:ind w:firstLine="640"/>
        <w:jc w:val="both"/>
        <w:sectPr>
          <w:footerReference r:id="rId3" w:type="default"/>
          <w:footerReference r:id="rId4" w:type="even"/>
          <w:pgSz w:w="11900" w:h="16840"/>
          <w:pgMar w:top="2042" w:right="1363" w:bottom="1826" w:left="1498" w:header="0" w:footer="3" w:gutter="0"/>
          <w:pgNumType w:start="1"/>
          <w:cols w:space="720" w:num="1"/>
          <w:docGrid w:linePitch="360" w:charSpace="0"/>
        </w:sectPr>
      </w:pPr>
      <w:r>
        <w:rPr>
          <w:color w:val="000000"/>
          <w:sz w:val="30"/>
          <w:szCs w:val="30"/>
        </w:rPr>
        <w:t xml:space="preserve">第四条 </w:t>
      </w:r>
      <w:r>
        <w:rPr>
          <w:color w:val="000000"/>
        </w:rPr>
        <w:t>竞赛的基本方式：高等学校在校学生申报自然科学类学术论文、哲学社会科学类社会调查报告和学术论文、科技发 明制作三类作品参赛；聘请专家评定出具有较高学术理论水平、 实际应用价值和创新意义的优秀作品，给予奖励；组织学术交流 和科技成果的展览、转让活动。</w:t>
      </w:r>
    </w:p>
    <w:p>
      <w:pPr>
        <w:pStyle w:val="15"/>
        <w:spacing w:after="540" w:line="240" w:lineRule="auto"/>
        <w:ind w:firstLine="0"/>
        <w:jc w:val="center"/>
        <w:rPr>
          <w:sz w:val="30"/>
          <w:szCs w:val="30"/>
        </w:rPr>
      </w:pPr>
      <w:r>
        <w:rPr>
          <w:color w:val="000000"/>
          <w:sz w:val="30"/>
          <w:szCs w:val="30"/>
        </w:rPr>
        <w:t>第二章组织机构及其职责</w:t>
      </w:r>
    </w:p>
    <w:p>
      <w:pPr>
        <w:pStyle w:val="15"/>
        <w:spacing w:line="563" w:lineRule="exact"/>
        <w:jc w:val="both"/>
      </w:pPr>
      <w:r>
        <w:rPr>
          <w:color w:val="000000"/>
          <w:sz w:val="30"/>
          <w:szCs w:val="30"/>
        </w:rPr>
        <w:t>第五条</w:t>
      </w:r>
      <w:r>
        <w:rPr>
          <w:color w:val="000000"/>
        </w:rPr>
        <w:t>竞赛设立领导小组，由主办单位和承办单位的有关负责人组成，负责指导竞赛活动，并对竞赛中各方提交的问题进 行协调和裁决。</w:t>
      </w:r>
    </w:p>
    <w:p>
      <w:pPr>
        <w:pStyle w:val="15"/>
        <w:spacing w:line="563" w:lineRule="exact"/>
        <w:jc w:val="both"/>
      </w:pPr>
      <w:r>
        <w:rPr>
          <w:color w:val="000000"/>
          <w:sz w:val="30"/>
          <w:szCs w:val="30"/>
        </w:rPr>
        <w:t>第六条</w:t>
      </w:r>
      <w:r>
        <w:rPr>
          <w:color w:val="000000"/>
        </w:rPr>
        <w:t>竞赛设立省级组织委员会，由主办单位、承办单位的有关负责人组成。主办单位和承办单位分别委派有关负责同志 作为组委会成员。省级组织委员会设主任、副主任若干名。</w:t>
      </w:r>
    </w:p>
    <w:p>
      <w:pPr>
        <w:pStyle w:val="15"/>
        <w:spacing w:line="563" w:lineRule="exact"/>
        <w:jc w:val="both"/>
      </w:pPr>
      <w:r>
        <w:rPr>
          <w:color w:val="000000"/>
          <w:sz w:val="30"/>
          <w:szCs w:val="30"/>
        </w:rPr>
        <w:t>第七条</w:t>
      </w:r>
      <w:r>
        <w:rPr>
          <w:color w:val="000000"/>
        </w:rPr>
        <w:t>省级组织委员会的职责如下：</w:t>
      </w:r>
    </w:p>
    <w:p>
      <w:pPr>
        <w:pStyle w:val="15"/>
        <w:numPr>
          <w:ilvl w:val="0"/>
          <w:numId w:val="6"/>
        </w:numPr>
        <w:tabs>
          <w:tab w:val="left" w:pos="1075"/>
        </w:tabs>
        <w:spacing w:line="563" w:lineRule="exact"/>
        <w:jc w:val="both"/>
      </w:pPr>
      <w:bookmarkStart w:id="33" w:name="bookmark36"/>
      <w:bookmarkEnd w:id="33"/>
      <w:r>
        <w:rPr>
          <w:color w:val="000000"/>
        </w:rPr>
        <w:t>审议、修改竞赛的章程。</w:t>
      </w:r>
    </w:p>
    <w:p>
      <w:pPr>
        <w:pStyle w:val="15"/>
        <w:numPr>
          <w:ilvl w:val="0"/>
          <w:numId w:val="6"/>
        </w:numPr>
        <w:tabs>
          <w:tab w:val="left" w:pos="1075"/>
        </w:tabs>
        <w:spacing w:line="563" w:lineRule="exact"/>
        <w:jc w:val="both"/>
      </w:pPr>
      <w:bookmarkStart w:id="34" w:name="bookmark37"/>
      <w:bookmarkEnd w:id="34"/>
      <w:r>
        <w:rPr>
          <w:color w:val="000000"/>
        </w:rPr>
        <w:t>筹集竞赛组织、评审、奖励所需的经费。</w:t>
      </w:r>
    </w:p>
    <w:p>
      <w:pPr>
        <w:pStyle w:val="15"/>
        <w:numPr>
          <w:ilvl w:val="0"/>
          <w:numId w:val="6"/>
        </w:numPr>
        <w:tabs>
          <w:tab w:val="left" w:pos="1075"/>
        </w:tabs>
        <w:spacing w:line="563" w:lineRule="exact"/>
        <w:jc w:val="both"/>
      </w:pPr>
      <w:bookmarkStart w:id="35" w:name="bookmark38"/>
      <w:bookmarkEnd w:id="35"/>
      <w:r>
        <w:rPr>
          <w:color w:val="000000"/>
        </w:rPr>
        <w:t>确定竞赛承办单位。</w:t>
      </w:r>
    </w:p>
    <w:p>
      <w:pPr>
        <w:pStyle w:val="15"/>
        <w:numPr>
          <w:ilvl w:val="0"/>
          <w:numId w:val="6"/>
        </w:numPr>
        <w:tabs>
          <w:tab w:val="left" w:pos="1075"/>
        </w:tabs>
        <w:spacing w:line="563" w:lineRule="exact"/>
        <w:jc w:val="both"/>
      </w:pPr>
      <w:bookmarkStart w:id="36" w:name="bookmark39"/>
      <w:bookmarkEnd w:id="36"/>
      <w:r>
        <w:rPr>
          <w:color w:val="000000"/>
        </w:rPr>
        <w:t>议决其它应由组委会议决的事项。</w:t>
      </w:r>
    </w:p>
    <w:p>
      <w:pPr>
        <w:pStyle w:val="15"/>
        <w:spacing w:line="563" w:lineRule="exact"/>
        <w:jc w:val="both"/>
      </w:pPr>
      <w:r>
        <w:rPr>
          <w:color w:val="000000"/>
          <w:sz w:val="30"/>
          <w:szCs w:val="30"/>
        </w:rPr>
        <w:t>第八条</w:t>
      </w:r>
      <w:r>
        <w:rPr>
          <w:color w:val="000000"/>
        </w:rPr>
        <w:t>省级组织委员会下设秘书处，负责按照省级组织委员会通过的章程组织竞赛活动并向省级组织委员会报告工作，负 责组织实施参赛作品的资格审查。秘书处设秘书长、副秘书长若 干名，由主办单位、承办单位有关领导担任。</w:t>
      </w:r>
    </w:p>
    <w:p>
      <w:pPr>
        <w:pStyle w:val="15"/>
        <w:spacing w:line="563" w:lineRule="exact"/>
        <w:jc w:val="both"/>
      </w:pPr>
      <w:r>
        <w:rPr>
          <w:color w:val="000000"/>
          <w:sz w:val="30"/>
          <w:szCs w:val="30"/>
        </w:rPr>
        <w:t>第九条</w:t>
      </w:r>
      <w:r>
        <w:rPr>
          <w:color w:val="000000"/>
        </w:rPr>
        <w:t>竞赛设立省级评审委员会，由主办单位聘请的相关学科具有高级职称的非高校专家或高科技企业的技术骨干组成，设主任、副主任、评审委员若干名。</w:t>
      </w:r>
    </w:p>
    <w:p>
      <w:pPr>
        <w:pStyle w:val="15"/>
        <w:spacing w:line="563" w:lineRule="exact"/>
        <w:jc w:val="both"/>
      </w:pPr>
      <w:r>
        <w:rPr>
          <w:color w:val="000000"/>
        </w:rPr>
        <w:t>省级评审委员会经主办单位批准成立，有权在本章程和评审规则所规定</w:t>
      </w:r>
      <w:r>
        <w:rPr>
          <w:rFonts w:hint="eastAsia"/>
          <w:color w:val="000000"/>
          <w:lang w:eastAsia="zh-CN"/>
        </w:rPr>
        <w:t>的</w:t>
      </w:r>
      <w:r>
        <w:rPr>
          <w:color w:val="000000"/>
        </w:rPr>
        <w:t>原则下，独立开展评审工作。评委须严格遵守《评审纪律》，评审前须签订《评审纪律承诺书》。</w:t>
      </w:r>
    </w:p>
    <w:p>
      <w:pPr>
        <w:pStyle w:val="15"/>
        <w:spacing w:line="566" w:lineRule="exact"/>
        <w:jc w:val="both"/>
      </w:pPr>
      <w:r>
        <w:rPr>
          <w:color w:val="000000"/>
          <w:sz w:val="30"/>
          <w:szCs w:val="30"/>
        </w:rPr>
        <w:t>第十条</w:t>
      </w:r>
      <w:r>
        <w:rPr>
          <w:color w:val="000000"/>
        </w:rPr>
        <w:t>省级评审委员会职责如下：</w:t>
      </w:r>
    </w:p>
    <w:p>
      <w:pPr>
        <w:pStyle w:val="15"/>
        <w:numPr>
          <w:ilvl w:val="0"/>
          <w:numId w:val="7"/>
        </w:numPr>
        <w:tabs>
          <w:tab w:val="left" w:pos="1075"/>
        </w:tabs>
        <w:spacing w:line="566" w:lineRule="exact"/>
        <w:jc w:val="both"/>
      </w:pPr>
      <w:bookmarkStart w:id="37" w:name="bookmark40"/>
      <w:bookmarkEnd w:id="37"/>
      <w:r>
        <w:rPr>
          <w:color w:val="000000"/>
        </w:rPr>
        <w:t>在本章程和评审规则基础上制定评审实施细则。</w:t>
      </w:r>
    </w:p>
    <w:p>
      <w:pPr>
        <w:pStyle w:val="15"/>
        <w:numPr>
          <w:ilvl w:val="0"/>
          <w:numId w:val="7"/>
        </w:numPr>
        <w:tabs>
          <w:tab w:val="left" w:pos="1078"/>
        </w:tabs>
        <w:spacing w:line="566" w:lineRule="exact"/>
        <w:jc w:val="both"/>
      </w:pPr>
      <w:bookmarkStart w:id="38" w:name="bookmark41"/>
      <w:bookmarkEnd w:id="38"/>
      <w:r>
        <w:rPr>
          <w:color w:val="000000"/>
        </w:rPr>
        <w:t>终审决赛环节实行公开答辩制，答辩前评审委员可以到参赛作品集中展示区审看参赛作品及其演示。</w:t>
      </w:r>
    </w:p>
    <w:p>
      <w:pPr>
        <w:pStyle w:val="15"/>
        <w:numPr>
          <w:ilvl w:val="0"/>
          <w:numId w:val="7"/>
        </w:numPr>
        <w:tabs>
          <w:tab w:val="left" w:pos="1056"/>
        </w:tabs>
        <w:spacing w:line="566" w:lineRule="exact"/>
        <w:jc w:val="both"/>
      </w:pPr>
      <w:bookmarkStart w:id="39" w:name="bookmark42"/>
      <w:bookmarkEnd w:id="39"/>
      <w:r>
        <w:rPr>
          <w:color w:val="000000"/>
        </w:rPr>
        <w:t>确定参赛作品获奖等次。</w:t>
      </w:r>
    </w:p>
    <w:p>
      <w:pPr>
        <w:pStyle w:val="15"/>
        <w:numPr>
          <w:ilvl w:val="0"/>
          <w:numId w:val="7"/>
        </w:numPr>
        <w:tabs>
          <w:tab w:val="left" w:pos="1066"/>
        </w:tabs>
        <w:spacing w:line="566" w:lineRule="exact"/>
        <w:jc w:val="both"/>
      </w:pPr>
      <w:bookmarkStart w:id="40" w:name="bookmark43"/>
      <w:bookmarkEnd w:id="40"/>
      <w:r>
        <w:rPr>
          <w:color w:val="000000"/>
        </w:rPr>
        <w:t>接受对参赛作品资格的质疑投诉并进行判定</w:t>
      </w:r>
    </w:p>
    <w:p>
      <w:pPr>
        <w:pStyle w:val="15"/>
        <w:spacing w:line="566" w:lineRule="exact"/>
        <w:jc w:val="both"/>
      </w:pPr>
      <w:r>
        <w:rPr>
          <w:color w:val="000000"/>
          <w:sz w:val="30"/>
          <w:szCs w:val="30"/>
        </w:rPr>
        <w:t xml:space="preserve">第十一条 </w:t>
      </w:r>
      <w:r>
        <w:rPr>
          <w:color w:val="000000"/>
        </w:rPr>
        <w:t>大赛设立省监督委员会，对评审过程、评审纪律等进行监督，协调处理对竞赛作品资格和评审结果的质询（须由校级团委提出），对违反大赛纪律的行为予以处理。</w:t>
      </w:r>
    </w:p>
    <w:p>
      <w:pPr>
        <w:pStyle w:val="15"/>
        <w:spacing w:after="540" w:line="566" w:lineRule="exact"/>
        <w:jc w:val="both"/>
      </w:pPr>
      <w:r>
        <w:rPr>
          <w:color w:val="000000"/>
          <w:sz w:val="30"/>
          <w:szCs w:val="30"/>
        </w:rPr>
        <w:t xml:space="preserve">第十二条 </w:t>
      </w:r>
      <w:r>
        <w:rPr>
          <w:color w:val="000000"/>
        </w:rPr>
        <w:t>各学校需根据自身实际，举办与省赛接轨的届次化的大学生课外学术科技作品竞赛。各学校设立校级组织协调</w:t>
      </w:r>
      <w:r>
        <w:rPr>
          <w:rFonts w:hint="eastAsia"/>
          <w:color w:val="000000"/>
          <w:lang w:eastAsia="zh-CN"/>
        </w:rPr>
        <w:t>委员会</w:t>
      </w:r>
      <w:r>
        <w:rPr>
          <w:color w:val="000000"/>
        </w:rPr>
        <w:t>和评审委员会，负责本校竞赛的组织协调、参赛项目资格审 查、评选等有关工作。</w:t>
      </w:r>
    </w:p>
    <w:p>
      <w:pPr>
        <w:pStyle w:val="15"/>
        <w:spacing w:after="540" w:line="566" w:lineRule="exact"/>
        <w:ind w:firstLine="0"/>
        <w:jc w:val="center"/>
        <w:rPr>
          <w:sz w:val="30"/>
          <w:szCs w:val="30"/>
        </w:rPr>
      </w:pPr>
      <w:r>
        <w:rPr>
          <w:color w:val="000000"/>
          <w:sz w:val="30"/>
          <w:szCs w:val="30"/>
        </w:rPr>
        <w:t>第三章参赛资格与作品申报</w:t>
      </w:r>
    </w:p>
    <w:p>
      <w:pPr>
        <w:pStyle w:val="15"/>
        <w:spacing w:line="568" w:lineRule="exact"/>
      </w:pPr>
      <w:r>
        <w:rPr>
          <w:color w:val="000000"/>
          <w:sz w:val="30"/>
          <w:szCs w:val="30"/>
        </w:rPr>
        <w:t>第十三条</w:t>
      </w:r>
      <w:r>
        <w:rPr>
          <w:color w:val="000000"/>
        </w:rPr>
        <w:t>凡在举办竞赛终审决赛的当年</w:t>
      </w:r>
      <w:r>
        <w:rPr>
          <w:color w:val="000000"/>
          <w:sz w:val="32"/>
          <w:szCs w:val="32"/>
        </w:rPr>
        <w:t>6</w:t>
      </w:r>
      <w:r>
        <w:rPr>
          <w:color w:val="000000"/>
        </w:rPr>
        <w:t>月</w:t>
      </w:r>
      <w:r>
        <w:rPr>
          <w:color w:val="000000"/>
          <w:sz w:val="32"/>
          <w:szCs w:val="32"/>
        </w:rPr>
        <w:t>1</w:t>
      </w:r>
      <w:r>
        <w:rPr>
          <w:color w:val="000000"/>
        </w:rPr>
        <w:t>日以前正式注册的全日制非成人教育的各类高等院校在校专科生、本科生、 硕士研究生（不含在职研究生）都可申报作品参赛。</w:t>
      </w:r>
    </w:p>
    <w:p>
      <w:pPr>
        <w:pStyle w:val="15"/>
        <w:spacing w:line="568" w:lineRule="exact"/>
      </w:pPr>
      <w:r>
        <w:rPr>
          <w:color w:val="000000"/>
          <w:sz w:val="30"/>
          <w:szCs w:val="30"/>
        </w:rPr>
        <w:t>第十四条</w:t>
      </w:r>
      <w:r>
        <w:rPr>
          <w:color w:val="000000"/>
        </w:rPr>
        <w:t>申报参赛的作品必须是距竞赛终审决赛当年</w:t>
      </w:r>
      <w:r>
        <w:rPr>
          <w:color w:val="000000"/>
          <w:sz w:val="32"/>
          <w:szCs w:val="32"/>
        </w:rPr>
        <w:t>6</w:t>
      </w:r>
      <w:r>
        <w:rPr>
          <w:color w:val="000000"/>
        </w:rPr>
        <w:t>月</w:t>
      </w:r>
      <w:r>
        <w:rPr>
          <w:color w:val="000000"/>
          <w:sz w:val="32"/>
          <w:szCs w:val="32"/>
        </w:rPr>
        <w:t>1</w:t>
      </w:r>
      <w:r>
        <w:rPr>
          <w:color w:val="000000"/>
        </w:rPr>
        <w:t>日前两年内完成的学生课外学术科技或社会实践活动成果</w:t>
      </w:r>
      <w:r>
        <w:rPr>
          <w:rFonts w:hint="eastAsia"/>
          <w:color w:val="000000"/>
          <w:lang w:eastAsia="zh-CN"/>
        </w:rPr>
        <w:t>，</w:t>
      </w:r>
      <w:r>
        <w:rPr>
          <w:color w:val="000000"/>
        </w:rPr>
        <w:t xml:space="preserve"> 可分为个人作品和集体作品。申报个人作品的，申报者必须承担 申报作品</w:t>
      </w:r>
      <w:r>
        <w:rPr>
          <w:color w:val="000000"/>
          <w:sz w:val="32"/>
          <w:szCs w:val="32"/>
        </w:rPr>
        <w:t>60%</w:t>
      </w:r>
      <w:r>
        <w:rPr>
          <w:color w:val="000000"/>
        </w:rPr>
        <w:t>以上的研究工作，作品鉴定证书、专利证书及发表 的有关作品上的署名均应为第一作者，合作者必须是学生且不得 超过</w:t>
      </w:r>
      <w:r>
        <w:rPr>
          <w:color w:val="000000"/>
          <w:sz w:val="32"/>
          <w:szCs w:val="32"/>
        </w:rPr>
        <w:t>2</w:t>
      </w:r>
      <w:r>
        <w:rPr>
          <w:color w:val="000000"/>
        </w:rPr>
        <w:t>人；凡作者超过</w:t>
      </w:r>
      <w:r>
        <w:rPr>
          <w:color w:val="000000"/>
          <w:sz w:val="32"/>
          <w:szCs w:val="32"/>
        </w:rPr>
        <w:t>3</w:t>
      </w:r>
      <w:r>
        <w:rPr>
          <w:color w:val="000000"/>
        </w:rPr>
        <w:t>人的项目或者不超过</w:t>
      </w:r>
      <w:r>
        <w:rPr>
          <w:color w:val="000000"/>
          <w:sz w:val="32"/>
          <w:szCs w:val="32"/>
        </w:rPr>
        <w:t>3</w:t>
      </w:r>
      <w:r>
        <w:rPr>
          <w:color w:val="000000"/>
        </w:rPr>
        <w:t>人，但无法区分 第一作者的项目，均须申报集体作品。集体作品的作者人数不得 超过</w:t>
      </w:r>
      <w:r>
        <w:rPr>
          <w:color w:val="000000"/>
          <w:sz w:val="32"/>
          <w:szCs w:val="32"/>
        </w:rPr>
        <w:t>8</w:t>
      </w:r>
      <w:r>
        <w:rPr>
          <w:color w:val="000000"/>
        </w:rPr>
        <w:t>人。凡有合作者的个人作品或集体作品，均按学历最高的 作者划分至本专科生或硕士研究生类进行评审。</w:t>
      </w:r>
    </w:p>
    <w:p>
      <w:pPr>
        <w:pStyle w:val="15"/>
        <w:spacing w:line="561" w:lineRule="exact"/>
        <w:jc w:val="both"/>
      </w:pPr>
      <w:r>
        <w:rPr>
          <w:color w:val="000000"/>
        </w:rPr>
        <w:t>增加作品自查环节，申报学校签订承诺书，承诺作品符合“挑 战杯”竞赛申报作品的要求，接受省级组织委员会检查。对不符 合申报要求或严重违规作品的惩戒措施详见第六章。</w:t>
      </w:r>
    </w:p>
    <w:p>
      <w:pPr>
        <w:pStyle w:val="15"/>
        <w:jc w:val="both"/>
      </w:pPr>
      <w:r>
        <w:rPr>
          <w:color w:val="000000"/>
        </w:rPr>
        <w:t>本校硕博连读生（直博生）若在决赛当年</w:t>
      </w:r>
      <w:r>
        <w:rPr>
          <w:color w:val="000000"/>
          <w:sz w:val="32"/>
          <w:szCs w:val="32"/>
        </w:rPr>
        <w:t>6</w:t>
      </w:r>
      <w:r>
        <w:rPr>
          <w:color w:val="000000"/>
        </w:rPr>
        <w:t>月</w:t>
      </w:r>
      <w:r>
        <w:rPr>
          <w:color w:val="000000"/>
          <w:sz w:val="32"/>
          <w:szCs w:val="32"/>
        </w:rPr>
        <w:t>1</w:t>
      </w:r>
      <w:r>
        <w:rPr>
          <w:color w:val="000000"/>
        </w:rPr>
        <w:t>日以前未通 过博士资格考试的，可以按硕士生学历申报作品。没有实行资格 考试制度的学校，前两年可以按硕士学历申报作品。本硕博连读 生，按照四年、二年分别对应本、硕申报，后续则不可申报。</w:t>
      </w:r>
    </w:p>
    <w:p>
      <w:pPr>
        <w:pStyle w:val="15"/>
        <w:jc w:val="both"/>
      </w:pPr>
      <w:r>
        <w:rPr>
          <w:color w:val="000000"/>
        </w:rPr>
        <w:t>毕业设计和课程设计（论文）、学年论文和学位论文、国际竞赛中获奖的作品、获国家级和省级奖励成果（含本竞赛主办单 位参与举办的其它省级竞赛的获奖作品）等均不在申报范围之 列。</w:t>
      </w:r>
    </w:p>
    <w:p>
      <w:pPr>
        <w:pStyle w:val="15"/>
        <w:jc w:val="both"/>
      </w:pPr>
      <w:r>
        <w:rPr>
          <w:color w:val="000000"/>
          <w:sz w:val="30"/>
          <w:szCs w:val="30"/>
        </w:rPr>
        <w:t xml:space="preserve">第十五条 </w:t>
      </w:r>
      <w:r>
        <w:rPr>
          <w:color w:val="000000"/>
        </w:rPr>
        <w:t>申报参赛的作品分为自然科学类学术论文、哲学社会科学类社会调查报告和学术论文、科技发明制作三类。自然 科学类学术论文作者限本专科生。哲学社会科学类按照哲学、经 济、社会、法律、教育、管理</w:t>
      </w:r>
      <w:r>
        <w:rPr>
          <w:color w:val="000000"/>
          <w:sz w:val="32"/>
          <w:szCs w:val="32"/>
        </w:rPr>
        <w:t>6</w:t>
      </w:r>
      <w:r>
        <w:rPr>
          <w:color w:val="000000"/>
        </w:rPr>
        <w:t>个学科报送社会调查报告和学术 论文。科技发明制作类分为</w:t>
      </w:r>
      <w:r>
        <w:rPr>
          <w:color w:val="000000"/>
          <w:sz w:val="32"/>
          <w:szCs w:val="32"/>
          <w:lang w:val="en-US" w:eastAsia="zh-CN" w:bidi="en-US"/>
        </w:rPr>
        <w:t>A</w:t>
      </w:r>
      <w:r>
        <w:rPr>
          <w:color w:val="000000"/>
          <w:lang w:val="en-US" w:eastAsia="zh-CN" w:bidi="en-US"/>
        </w:rPr>
        <w:t>、</w:t>
      </w:r>
      <w:r>
        <w:rPr>
          <w:color w:val="000000"/>
          <w:sz w:val="32"/>
          <w:szCs w:val="32"/>
          <w:lang w:val="en-US" w:eastAsia="zh-CN" w:bidi="en-US"/>
        </w:rPr>
        <w:t>B</w:t>
      </w:r>
      <w:r>
        <w:rPr>
          <w:color w:val="000000"/>
        </w:rPr>
        <w:t>两类：</w:t>
      </w:r>
      <w:r>
        <w:rPr>
          <w:color w:val="000000"/>
          <w:sz w:val="32"/>
          <w:szCs w:val="32"/>
          <w:lang w:val="en-US" w:eastAsia="zh-CN" w:bidi="en-US"/>
        </w:rPr>
        <w:t>A</w:t>
      </w:r>
      <w:r>
        <w:rPr>
          <w:color w:val="000000"/>
        </w:rPr>
        <w:t>类指科技含量较高、 制作投入较大的作品；</w:t>
      </w:r>
      <w:r>
        <w:rPr>
          <w:color w:val="000000"/>
          <w:sz w:val="32"/>
          <w:szCs w:val="32"/>
          <w:lang w:val="en-US" w:eastAsia="zh-CN" w:bidi="en-US"/>
        </w:rPr>
        <w:t>B</w:t>
      </w:r>
      <w:r>
        <w:rPr>
          <w:color w:val="000000"/>
        </w:rPr>
        <w:t>类指投入较少，且为生产技术或社会生 活带来便利的小发明、小制作等。</w:t>
      </w:r>
    </w:p>
    <w:p>
      <w:pPr>
        <w:pStyle w:val="15"/>
        <w:spacing w:line="557" w:lineRule="exact"/>
        <w:jc w:val="both"/>
      </w:pPr>
      <w:r>
        <w:rPr>
          <w:color w:val="000000"/>
          <w:sz w:val="30"/>
          <w:szCs w:val="30"/>
        </w:rPr>
        <w:t xml:space="preserve">第十六条 </w:t>
      </w:r>
      <w:r>
        <w:rPr>
          <w:color w:val="000000"/>
        </w:rPr>
        <w:t>参赛作品涉及下列内容时，必须由申报者提供有关部门的证明材料，否则不予评审。</w:t>
      </w:r>
    </w:p>
    <w:p>
      <w:pPr>
        <w:pStyle w:val="15"/>
        <w:spacing w:line="557" w:lineRule="exact"/>
        <w:jc w:val="both"/>
      </w:pPr>
      <w:r>
        <w:rPr>
          <w:color w:val="000000"/>
        </w:rPr>
        <w:t>动植物新品种的发现或培育，须有省级以上农科部门或科研院所开具证明。</w:t>
      </w:r>
    </w:p>
    <w:p>
      <w:pPr>
        <w:pStyle w:val="15"/>
        <w:spacing w:line="557" w:lineRule="exact"/>
        <w:jc w:val="both"/>
      </w:pPr>
      <w:r>
        <w:rPr>
          <w:color w:val="000000"/>
        </w:rPr>
        <w:t>对国家保护动植物的研究，须有省级以上林业部门开具证明，证明该项研究的过程中未产生对所研究的动植物繁衍、生长 不利的影响。</w:t>
      </w:r>
    </w:p>
    <w:p>
      <w:pPr>
        <w:pStyle w:val="15"/>
        <w:spacing w:line="557" w:lineRule="exact"/>
        <w:jc w:val="both"/>
      </w:pPr>
      <w:r>
        <w:rPr>
          <w:color w:val="000000"/>
        </w:rPr>
        <w:t>新药物的研究须有卫生行政部门授权机构的鉴定证明。医疗卫生研究须通过专家鉴定，并最好附有在公开发行的专业性杂志 上发表过的文章。</w:t>
      </w:r>
    </w:p>
    <w:p>
      <w:pPr>
        <w:pStyle w:val="15"/>
        <w:spacing w:line="557" w:lineRule="exact"/>
        <w:jc w:val="both"/>
      </w:pPr>
      <w:r>
        <w:rPr>
          <w:color w:val="000000"/>
        </w:rPr>
        <w:t>涉及燃气用具等与人民生命财产安全有关用具的研究，须有国家相应行政部门授权机构的认定证明。</w:t>
      </w:r>
    </w:p>
    <w:p>
      <w:pPr>
        <w:pStyle w:val="15"/>
        <w:spacing w:line="557" w:lineRule="exact"/>
        <w:jc w:val="both"/>
      </w:pPr>
      <w:r>
        <w:rPr>
          <w:color w:val="000000"/>
          <w:sz w:val="30"/>
          <w:szCs w:val="30"/>
        </w:rPr>
        <w:t xml:space="preserve">第十七条 </w:t>
      </w:r>
      <w:r>
        <w:rPr>
          <w:color w:val="000000"/>
        </w:rPr>
        <w:t>参赛作品必须于申报前将作品项目名称、参赛学 生和指导教师等关键信息在学校官方网站主页上进行不少于</w:t>
      </w:r>
      <w:r>
        <w:rPr>
          <w:color w:val="000000"/>
          <w:sz w:val="32"/>
          <w:szCs w:val="32"/>
        </w:rPr>
        <w:t xml:space="preserve">5 </w:t>
      </w:r>
      <w:r>
        <w:rPr>
          <w:color w:val="000000"/>
        </w:rPr>
        <w:t>天的公示，并将公示截图随作品一同报送。多个学校学生合作申 报的项目，须注明学生、学校信息并在学生所在学校均进行公示。</w:t>
      </w:r>
    </w:p>
    <w:p>
      <w:pPr>
        <w:pStyle w:val="15"/>
        <w:spacing w:line="557" w:lineRule="exact"/>
        <w:jc w:val="both"/>
      </w:pPr>
      <w:r>
        <w:rPr>
          <w:color w:val="000000"/>
          <w:sz w:val="30"/>
          <w:szCs w:val="30"/>
        </w:rPr>
        <w:t xml:space="preserve">第十八条 </w:t>
      </w:r>
      <w:r>
        <w:rPr>
          <w:color w:val="000000"/>
        </w:rPr>
        <w:t>参赛作品必须由两名具有高级专业技术职称的 指导教师（或教研组）推荐，经本校学籍管理、教务、科研管理 部门审核确认。每件作品可由不超过</w:t>
      </w:r>
      <w:r>
        <w:rPr>
          <w:color w:val="000000"/>
          <w:sz w:val="32"/>
          <w:szCs w:val="32"/>
        </w:rPr>
        <w:t>3</w:t>
      </w:r>
      <w:r>
        <w:rPr>
          <w:color w:val="000000"/>
        </w:rPr>
        <w:t>名教师指导完成。作品完 成省赛申报后，作品题目、作者、指导教师等关键信息不得变动。</w:t>
      </w:r>
    </w:p>
    <w:p>
      <w:pPr>
        <w:pStyle w:val="15"/>
        <w:spacing w:after="540" w:line="561" w:lineRule="exact"/>
        <w:jc w:val="both"/>
      </w:pPr>
      <w:r>
        <w:rPr>
          <w:color w:val="000000"/>
          <w:sz w:val="30"/>
          <w:szCs w:val="30"/>
        </w:rPr>
        <w:t xml:space="preserve">第十九条 </w:t>
      </w:r>
      <w:r>
        <w:rPr>
          <w:color w:val="000000"/>
        </w:rPr>
        <w:t>每所本科院校选送参加竞赛的作品总数不得超过</w:t>
      </w:r>
      <w:r>
        <w:rPr>
          <w:color w:val="000000"/>
          <w:sz w:val="32"/>
          <w:szCs w:val="32"/>
        </w:rPr>
        <w:t>10</w:t>
      </w:r>
      <w:r>
        <w:rPr>
          <w:color w:val="000000"/>
        </w:rPr>
        <w:t>件，其中研究生作品不得超过作品总数的</w:t>
      </w:r>
      <w:r>
        <w:rPr>
          <w:color w:val="000000"/>
          <w:sz w:val="32"/>
          <w:szCs w:val="32"/>
        </w:rPr>
        <w:t>1/2；</w:t>
      </w:r>
      <w:r>
        <w:rPr>
          <w:color w:val="000000"/>
        </w:rPr>
        <w:t>每所高职 院校选送参加省赛的作品总数不得超过</w:t>
      </w:r>
      <w:r>
        <w:rPr>
          <w:color w:val="000000"/>
          <w:sz w:val="32"/>
          <w:szCs w:val="32"/>
        </w:rPr>
        <w:t>5</w:t>
      </w:r>
      <w:r>
        <w:rPr>
          <w:color w:val="000000"/>
        </w:rPr>
        <w:t>件。比赛承办高校可加 报</w:t>
      </w:r>
      <w:r>
        <w:rPr>
          <w:color w:val="000000"/>
          <w:sz w:val="32"/>
          <w:szCs w:val="32"/>
        </w:rPr>
        <w:t>5</w:t>
      </w:r>
      <w:r>
        <w:rPr>
          <w:color w:val="000000"/>
        </w:rPr>
        <w:t>件作品。参赛者每人限报</w:t>
      </w:r>
      <w:r>
        <w:rPr>
          <w:color w:val="000000"/>
          <w:sz w:val="32"/>
          <w:szCs w:val="32"/>
        </w:rPr>
        <w:t>1</w:t>
      </w:r>
      <w:r>
        <w:rPr>
          <w:color w:val="000000"/>
        </w:rPr>
        <w:t>件作品。如研究生作品数超过 比例要求，违反规定的，取消该校所有研究生作品参赛资格且不 得补报，但如学校只招收研究生的，或只有</w:t>
      </w:r>
      <w:r>
        <w:rPr>
          <w:color w:val="000000"/>
          <w:sz w:val="32"/>
          <w:szCs w:val="32"/>
        </w:rPr>
        <w:t>1</w:t>
      </w:r>
      <w:r>
        <w:rPr>
          <w:color w:val="000000"/>
        </w:rPr>
        <w:t>件作品参加省赛 的，不受作品比例限制。参赛作品须经过本校组织协调委员会进 行资格及形式审查和本校评审委员会初步评定，方可推报省赛。</w:t>
      </w:r>
    </w:p>
    <w:p>
      <w:pPr>
        <w:pStyle w:val="15"/>
        <w:spacing w:after="540" w:line="566" w:lineRule="exact"/>
        <w:ind w:firstLine="0"/>
        <w:jc w:val="center"/>
        <w:rPr>
          <w:sz w:val="30"/>
          <w:szCs w:val="30"/>
        </w:rPr>
      </w:pPr>
      <w:r>
        <w:rPr>
          <w:color w:val="000000"/>
          <w:sz w:val="30"/>
          <w:szCs w:val="30"/>
        </w:rPr>
        <w:t>第四章展览、交流、转让</w:t>
      </w:r>
    </w:p>
    <w:p>
      <w:pPr>
        <w:pStyle w:val="15"/>
        <w:spacing w:line="566" w:lineRule="exact"/>
        <w:jc w:val="both"/>
      </w:pPr>
      <w:r>
        <w:rPr>
          <w:color w:val="000000"/>
          <w:sz w:val="30"/>
          <w:szCs w:val="30"/>
        </w:rPr>
        <w:t xml:space="preserve">第二十条 </w:t>
      </w:r>
      <w:r>
        <w:rPr>
          <w:color w:val="000000"/>
        </w:rPr>
        <w:t>省级评审委员会推荐通过复赛的一定比例的自然科学类学术论文、哲学社会科学类社会调查报告和学术论文及 科技发明制作类作品参加展览。科技发明制作类作品须有实物或 模型参展。</w:t>
      </w:r>
    </w:p>
    <w:p>
      <w:pPr>
        <w:pStyle w:val="15"/>
        <w:spacing w:line="566" w:lineRule="exact"/>
        <w:jc w:val="both"/>
      </w:pPr>
      <w:r>
        <w:rPr>
          <w:color w:val="000000"/>
          <w:sz w:val="30"/>
          <w:szCs w:val="30"/>
        </w:rPr>
        <w:t>第二十一条</w:t>
      </w:r>
      <w:r>
        <w:rPr>
          <w:color w:val="000000"/>
        </w:rPr>
        <w:t>省级组织委员会将在竞赛的终审决赛阶段组织多种形式的学术交流和工作交流活动，并适时举办专项赛。</w:t>
      </w:r>
    </w:p>
    <w:p>
      <w:pPr>
        <w:pStyle w:val="15"/>
        <w:spacing w:line="566" w:lineRule="exact"/>
        <w:jc w:val="both"/>
      </w:pPr>
      <w:r>
        <w:rPr>
          <w:color w:val="000000"/>
          <w:sz w:val="30"/>
          <w:szCs w:val="30"/>
        </w:rPr>
        <w:t>第二十二条</w:t>
      </w:r>
      <w:r>
        <w:rPr>
          <w:color w:val="000000"/>
        </w:rPr>
        <w:t>省级组织委员会将举办成果转让活动；成果是否转让不作为作品评审获奖的依据。</w:t>
      </w:r>
    </w:p>
    <w:p>
      <w:pPr>
        <w:pStyle w:val="15"/>
        <w:spacing w:after="540" w:line="566" w:lineRule="exact"/>
        <w:jc w:val="both"/>
      </w:pPr>
      <w:r>
        <w:rPr>
          <w:color w:val="000000"/>
          <w:sz w:val="30"/>
          <w:szCs w:val="30"/>
        </w:rPr>
        <w:t xml:space="preserve">第二十三条 </w:t>
      </w:r>
      <w:r>
        <w:rPr>
          <w:color w:val="000000"/>
        </w:rPr>
        <w:t>省级组织委员会拥有组织转让获奖作品的优先权。成果产权及利益分配由学校和作者协商确定。省级组织委员会可结集出版竞赛获奖作品及评委评语</w:t>
      </w:r>
    </w:p>
    <w:p>
      <w:pPr>
        <w:pStyle w:val="15"/>
        <w:spacing w:after="540" w:line="563" w:lineRule="exact"/>
        <w:ind w:firstLine="0"/>
        <w:jc w:val="center"/>
        <w:rPr>
          <w:sz w:val="30"/>
          <w:szCs w:val="30"/>
        </w:rPr>
      </w:pPr>
      <w:r>
        <w:rPr>
          <w:color w:val="000000"/>
          <w:sz w:val="30"/>
          <w:szCs w:val="30"/>
        </w:rPr>
        <w:t>第五章奖励</w:t>
      </w:r>
    </w:p>
    <w:p>
      <w:pPr>
        <w:pStyle w:val="15"/>
        <w:spacing w:line="563" w:lineRule="exact"/>
        <w:jc w:val="both"/>
      </w:pPr>
      <w:r>
        <w:rPr>
          <w:color w:val="000000"/>
          <w:sz w:val="30"/>
          <w:szCs w:val="30"/>
        </w:rPr>
        <w:t xml:space="preserve">第二十四条 </w:t>
      </w:r>
      <w:r>
        <w:rPr>
          <w:color w:val="000000"/>
        </w:rPr>
        <w:t>参赛的自然科学类学术论文、哲学社会科学类社会调查报告和学术论文、科技发明制作三类作品各设特等奖、 一等奖、二等奖、三等奖。各等次奖分别约占各类入围作品总数 的</w:t>
      </w:r>
      <w:r>
        <w:rPr>
          <w:color w:val="000000"/>
          <w:sz w:val="32"/>
          <w:szCs w:val="32"/>
        </w:rPr>
        <w:t>3%</w:t>
      </w:r>
      <w:r>
        <w:rPr>
          <w:color w:val="000000"/>
        </w:rPr>
        <w:t>、</w:t>
      </w:r>
      <w:r>
        <w:rPr>
          <w:color w:val="000000"/>
          <w:sz w:val="32"/>
          <w:szCs w:val="32"/>
        </w:rPr>
        <w:t>8%</w:t>
      </w:r>
      <w:r>
        <w:rPr>
          <w:color w:val="000000"/>
        </w:rPr>
        <w:t>、</w:t>
      </w:r>
      <w:r>
        <w:rPr>
          <w:color w:val="000000"/>
          <w:sz w:val="32"/>
          <w:szCs w:val="32"/>
        </w:rPr>
        <w:t>24%</w:t>
      </w:r>
      <w:r>
        <w:rPr>
          <w:color w:val="000000"/>
        </w:rPr>
        <w:t>和</w:t>
      </w:r>
      <w:r>
        <w:rPr>
          <w:color w:val="000000"/>
          <w:sz w:val="32"/>
          <w:szCs w:val="32"/>
        </w:rPr>
        <w:t>65%</w:t>
      </w:r>
      <w:r>
        <w:rPr>
          <w:color w:val="000000"/>
        </w:rPr>
        <w:t>。本专科生、硕士研究生两个学历层次作 者的作品获奖数与其入围作品数成正比例。科技发明制作类中</w:t>
      </w:r>
      <w:r>
        <w:rPr>
          <w:color w:val="000000"/>
          <w:sz w:val="32"/>
          <w:szCs w:val="32"/>
          <w:lang w:val="en-US" w:eastAsia="zh-CN" w:bidi="en-US"/>
        </w:rPr>
        <w:t xml:space="preserve">A </w:t>
      </w:r>
      <w:r>
        <w:rPr>
          <w:color w:val="000000"/>
        </w:rPr>
        <w:t>类和</w:t>
      </w:r>
      <w:r>
        <w:rPr>
          <w:color w:val="000000"/>
          <w:sz w:val="32"/>
          <w:szCs w:val="32"/>
          <w:lang w:val="en-US" w:eastAsia="zh-CN" w:bidi="en-US"/>
        </w:rPr>
        <w:t>B</w:t>
      </w:r>
      <w:r>
        <w:rPr>
          <w:color w:val="000000"/>
        </w:rPr>
        <w:t>类作品分别按上述比例设奖。省级评审委员会对各高校组 织协调委员会报送的参赛作品进行复赛评审，评出</w:t>
      </w:r>
      <w:r>
        <w:rPr>
          <w:color w:val="000000"/>
          <w:sz w:val="32"/>
          <w:szCs w:val="32"/>
        </w:rPr>
        <w:t>80%</w:t>
      </w:r>
      <w:r>
        <w:rPr>
          <w:color w:val="000000"/>
        </w:rPr>
        <w:t>左右的参 赛作品入围获奖作品，评出入围作品中的</w:t>
      </w:r>
      <w:r>
        <w:rPr>
          <w:color w:val="000000"/>
          <w:sz w:val="32"/>
          <w:szCs w:val="32"/>
        </w:rPr>
        <w:t>65%</w:t>
      </w:r>
      <w:r>
        <w:rPr>
          <w:color w:val="000000"/>
        </w:rPr>
        <w:t xml:space="preserve">获得三等奖，其余 </w:t>
      </w:r>
      <w:r>
        <w:rPr>
          <w:color w:val="000000"/>
          <w:sz w:val="32"/>
          <w:szCs w:val="32"/>
        </w:rPr>
        <w:t>35%</w:t>
      </w:r>
      <w:r>
        <w:rPr>
          <w:color w:val="000000"/>
        </w:rPr>
        <w:t>进入终审决赛。在终审决赛中评出特等奖、一等奖、二等奖。 省级复赛和终审决赛前，组委会根据作品数量等确定各分类小组 授奖数量。</w:t>
      </w:r>
    </w:p>
    <w:p>
      <w:pPr>
        <w:pStyle w:val="15"/>
        <w:spacing w:line="563" w:lineRule="exact"/>
        <w:jc w:val="both"/>
      </w:pPr>
      <w:r>
        <w:rPr>
          <w:color w:val="000000"/>
          <w:sz w:val="30"/>
          <w:szCs w:val="30"/>
        </w:rPr>
        <w:t>第二十五条</w:t>
      </w:r>
      <w:r>
        <w:rPr>
          <w:color w:val="000000"/>
        </w:rPr>
        <w:t>入围获奖的作品，确认资格有效的，由省级组 织委员会向作品颁发证书（证书须体现作者和指导老师姓名）。</w:t>
      </w:r>
    </w:p>
    <w:p>
      <w:pPr>
        <w:pStyle w:val="15"/>
        <w:spacing w:line="563" w:lineRule="exact"/>
        <w:jc w:val="both"/>
        <w:rPr>
          <w:color w:val="000000"/>
        </w:rPr>
      </w:pPr>
      <w:r>
        <w:rPr>
          <w:color w:val="000000"/>
          <w:sz w:val="30"/>
          <w:szCs w:val="30"/>
        </w:rPr>
        <w:t xml:space="preserve">第二十六条 </w:t>
      </w:r>
      <w:r>
        <w:rPr>
          <w:color w:val="000000"/>
        </w:rPr>
        <w:t>竞赛以学校为单位计算参赛得分，团体总分按 名次排列，按位次公布。最高荣誉</w:t>
      </w:r>
      <w:r>
        <w:rPr>
          <w:color w:val="000000"/>
          <w:lang w:val="zh-CN" w:eastAsia="zh-CN" w:bidi="zh-CN"/>
        </w:rPr>
        <w:t>“挑</w:t>
      </w:r>
      <w:r>
        <w:rPr>
          <w:color w:val="000000"/>
        </w:rPr>
        <w:t>战杯”授予竞赛团体成绩 最佳的学校，如遇团体总分并列第一，以获特等奖的数量排序， 以此类推至三等奖。设</w:t>
      </w:r>
      <w:r>
        <w:rPr>
          <w:color w:val="000000"/>
          <w:lang w:val="zh-CN" w:eastAsia="zh-CN" w:bidi="zh-CN"/>
        </w:rPr>
        <w:t>“优</w:t>
      </w:r>
      <w:r>
        <w:rPr>
          <w:color w:val="000000"/>
        </w:rPr>
        <w:t>胜杯”若干，分别授予除</w:t>
      </w:r>
      <w:r>
        <w:rPr>
          <w:color w:val="000000"/>
          <w:lang w:val="zh-CN" w:eastAsia="zh-CN" w:bidi="zh-CN"/>
        </w:rPr>
        <w:t>“挑</w:t>
      </w:r>
      <w:r>
        <w:rPr>
          <w:color w:val="000000"/>
        </w:rPr>
        <w:t>战杯” 获得高校之外团体总分前十一名的其余学校。</w:t>
      </w:r>
    </w:p>
    <w:p>
      <w:pPr>
        <w:pStyle w:val="15"/>
        <w:spacing w:line="563" w:lineRule="exact"/>
        <w:jc w:val="both"/>
      </w:pPr>
      <w:r>
        <w:rPr>
          <w:color w:val="000000"/>
        </w:rPr>
        <w:t>第二十七条各等次奖计分方法如下：特等奖作品每件计 100分，一等奖作品每件计</w:t>
      </w:r>
      <w:r>
        <w:rPr>
          <w:color w:val="000000"/>
          <w:sz w:val="32"/>
          <w:szCs w:val="32"/>
        </w:rPr>
        <w:t>70</w:t>
      </w:r>
      <w:r>
        <w:rPr>
          <w:color w:val="000000"/>
        </w:rPr>
        <w:t>分，二等奖作品每件计</w:t>
      </w:r>
      <w:r>
        <w:rPr>
          <w:color w:val="000000"/>
          <w:sz w:val="32"/>
          <w:szCs w:val="32"/>
        </w:rPr>
        <w:t>40</w:t>
      </w:r>
      <w:r>
        <w:rPr>
          <w:color w:val="000000"/>
        </w:rPr>
        <w:t>分，三 等奖作品每件计</w:t>
      </w:r>
      <w:r>
        <w:rPr>
          <w:color w:val="000000"/>
          <w:sz w:val="32"/>
          <w:szCs w:val="32"/>
        </w:rPr>
        <w:t>20</w:t>
      </w:r>
      <w:r>
        <w:rPr>
          <w:color w:val="000000"/>
        </w:rPr>
        <w:t>分，上报至省级组织委员会但未入围复赛的 作品每件计</w:t>
      </w:r>
      <w:r>
        <w:rPr>
          <w:color w:val="000000"/>
          <w:sz w:val="32"/>
          <w:szCs w:val="32"/>
        </w:rPr>
        <w:t>10</w:t>
      </w:r>
      <w:r>
        <w:rPr>
          <w:color w:val="000000"/>
        </w:rPr>
        <w:t>分。</w:t>
      </w:r>
    </w:p>
    <w:p>
      <w:pPr>
        <w:pStyle w:val="15"/>
        <w:spacing w:line="564" w:lineRule="exact"/>
        <w:jc w:val="both"/>
      </w:pPr>
      <w:r>
        <w:rPr>
          <w:color w:val="000000"/>
          <w:sz w:val="30"/>
          <w:szCs w:val="30"/>
        </w:rPr>
        <w:t xml:space="preserve">第二十八条 </w:t>
      </w:r>
      <w:r>
        <w:rPr>
          <w:color w:val="000000"/>
        </w:rPr>
        <w:t>校级赛事组织得分采取加分制，主要考察出台激励学生创新政策，联合教务、科研等部门举办校级赛事，校级 赛事学校重视、指导教师积极参与、广泛覆盖学生、氛围营造及 宣传，高校上传有评委完整评语作品到竞赛网站等情况。参加全 国竞赛的高校，校级赛事组织得分须达到国家级组委会的相应标准。</w:t>
      </w:r>
    </w:p>
    <w:p>
      <w:pPr>
        <w:pStyle w:val="15"/>
        <w:spacing w:after="540" w:line="569" w:lineRule="exact"/>
        <w:jc w:val="both"/>
      </w:pPr>
      <w:r>
        <w:rPr>
          <w:color w:val="000000"/>
          <w:sz w:val="30"/>
          <w:szCs w:val="30"/>
        </w:rPr>
        <w:t>第二十九条</w:t>
      </w:r>
      <w:r>
        <w:rPr>
          <w:color w:val="000000"/>
        </w:rPr>
        <w:t>竞赛设若干优秀组织奖，奖励在竞赛组织工作中表现突出的高校和市州团委，综合考虑组织办赛、专项赛事、 科技创新活动等的参与情况。</w:t>
      </w:r>
    </w:p>
    <w:p>
      <w:pPr>
        <w:pStyle w:val="15"/>
        <w:spacing w:after="540" w:line="564" w:lineRule="exact"/>
        <w:ind w:firstLine="0"/>
        <w:jc w:val="center"/>
        <w:rPr>
          <w:sz w:val="30"/>
          <w:szCs w:val="30"/>
        </w:rPr>
      </w:pPr>
      <w:r>
        <w:rPr>
          <w:color w:val="000000"/>
          <w:sz w:val="30"/>
          <w:szCs w:val="30"/>
        </w:rPr>
        <w:t>第六章惩戒</w:t>
      </w:r>
    </w:p>
    <w:p>
      <w:pPr>
        <w:pStyle w:val="15"/>
        <w:spacing w:line="563" w:lineRule="exact"/>
        <w:jc w:val="both"/>
      </w:pPr>
      <w:r>
        <w:rPr>
          <w:color w:val="000000"/>
          <w:sz w:val="30"/>
          <w:szCs w:val="30"/>
        </w:rPr>
        <w:t xml:space="preserve">第三十条 </w:t>
      </w:r>
      <w:r>
        <w:rPr>
          <w:color w:val="000000"/>
        </w:rPr>
        <w:t>参赛作品存在舞弊、抄袭、作假，将国家课题、教师科研成果包装成学生项目的，均视为严重违规行为。</w:t>
      </w:r>
    </w:p>
    <w:p>
      <w:pPr>
        <w:pStyle w:val="15"/>
        <w:spacing w:line="563" w:lineRule="exact"/>
        <w:jc w:val="both"/>
      </w:pPr>
      <w:r>
        <w:rPr>
          <w:color w:val="000000"/>
          <w:sz w:val="30"/>
          <w:szCs w:val="30"/>
        </w:rPr>
        <w:t xml:space="preserve">第三十一条 </w:t>
      </w:r>
      <w:r>
        <w:rPr>
          <w:color w:val="000000"/>
        </w:rPr>
        <w:t>参赛作品在公示环节，知情公众如发现作品不符合申报要求或存在严重违规行为，各高校要严肃对待、一经查 实取消作品参赛资格。</w:t>
      </w:r>
    </w:p>
    <w:p>
      <w:pPr>
        <w:pStyle w:val="15"/>
        <w:spacing w:line="576" w:lineRule="exact"/>
        <w:jc w:val="both"/>
      </w:pPr>
      <w:r>
        <w:rPr>
          <w:color w:val="000000"/>
          <w:sz w:val="30"/>
          <w:szCs w:val="30"/>
        </w:rPr>
        <w:t>第三十二条</w:t>
      </w:r>
      <w:r>
        <w:rPr>
          <w:color w:val="000000"/>
        </w:rPr>
        <w:t>参赛作品如在参赛环节被检查或经举报核实 发现作品不符合申报要求，取消作品参赛资格，该学校不得补报 作品；被检查或经举报核实发现作品存在严重违规行为，取消作 品参赛资格，该学校不得补报作品，该学校团体总分为零，并取 消该学校参评</w:t>
      </w:r>
      <w:r>
        <w:rPr>
          <w:color w:val="000000"/>
          <w:lang w:val="zh-CN" w:eastAsia="zh-CN" w:bidi="zh-CN"/>
        </w:rPr>
        <w:t>“挑战</w:t>
      </w:r>
      <w:r>
        <w:rPr>
          <w:color w:val="000000"/>
        </w:rPr>
        <w:t>杯”、</w:t>
      </w:r>
      <w:r>
        <w:rPr>
          <w:color w:val="000000"/>
          <w:lang w:val="zh-CN" w:eastAsia="zh-CN" w:bidi="zh-CN"/>
        </w:rPr>
        <w:t>“优</w:t>
      </w:r>
      <w:r>
        <w:rPr>
          <w:color w:val="000000"/>
        </w:rPr>
        <w:t>胜杯”及其他集体奖项的资格， 视情节严重取消该学校下届参赛资格。</w:t>
      </w:r>
    </w:p>
    <w:p>
      <w:pPr>
        <w:pStyle w:val="15"/>
        <w:spacing w:after="540" w:line="563" w:lineRule="exact"/>
        <w:jc w:val="both"/>
      </w:pPr>
      <w:r>
        <w:rPr>
          <w:color w:val="000000"/>
          <w:sz w:val="30"/>
          <w:szCs w:val="30"/>
        </w:rPr>
        <w:t xml:space="preserve">第三十三条 </w:t>
      </w:r>
      <w:r>
        <w:rPr>
          <w:color w:val="000000"/>
        </w:rPr>
        <w:t>竞赛结束后，对获奖作品保留一个月的质疑投 诉期。若收到投诉，竞赛领导小组将委托主办单位有关部门进行 调查。经调查，如确认该作品资格不符者，取消该作品获得的奖 励，重新计算作者所在学校团体总分及名次；如确认作品存在严 重违规行为，该学校团体总分为零，取消该学校所获得的</w:t>
      </w:r>
      <w:r>
        <w:rPr>
          <w:color w:val="000000"/>
          <w:lang w:val="zh-CN" w:eastAsia="zh-CN" w:bidi="zh-CN"/>
        </w:rPr>
        <w:t xml:space="preserve">“挑战 </w:t>
      </w:r>
      <w:r>
        <w:rPr>
          <w:color w:val="000000"/>
        </w:rPr>
        <w:t>杯”、</w:t>
      </w:r>
      <w:r>
        <w:rPr>
          <w:color w:val="000000"/>
          <w:lang w:val="zh-CN" w:eastAsia="zh-CN" w:bidi="zh-CN"/>
        </w:rPr>
        <w:t>“优</w:t>
      </w:r>
      <w:r>
        <w:rPr>
          <w:color w:val="000000"/>
        </w:rPr>
        <w:t>胜杯”或其他集体奖项，视情节严重取消该学校下届 参赛</w:t>
      </w:r>
      <w:r>
        <w:rPr>
          <w:color w:val="000000"/>
          <w:lang w:val="zh-CN" w:eastAsia="zh-CN" w:bidi="zh-CN"/>
        </w:rPr>
        <w:t>资格。</w:t>
      </w:r>
    </w:p>
    <w:p>
      <w:pPr>
        <w:pStyle w:val="15"/>
        <w:spacing w:after="540" w:line="563" w:lineRule="exact"/>
        <w:ind w:firstLine="0"/>
        <w:jc w:val="center"/>
        <w:rPr>
          <w:sz w:val="30"/>
          <w:szCs w:val="30"/>
        </w:rPr>
      </w:pPr>
      <w:r>
        <w:rPr>
          <w:color w:val="000000"/>
          <w:sz w:val="30"/>
          <w:szCs w:val="30"/>
        </w:rPr>
        <w:t>第七章附则</w:t>
      </w:r>
    </w:p>
    <w:p>
      <w:pPr>
        <w:pStyle w:val="15"/>
        <w:spacing w:line="566" w:lineRule="exact"/>
        <w:jc w:val="both"/>
      </w:pPr>
      <w:r>
        <w:rPr>
          <w:color w:val="000000"/>
          <w:sz w:val="30"/>
          <w:szCs w:val="30"/>
        </w:rPr>
        <w:t>第三十四条</w:t>
      </w:r>
      <w:r>
        <w:rPr>
          <w:color w:val="000000"/>
        </w:rPr>
        <w:t>承办竞赛的高校应按当届组委会通过的申办办法，申请承办下一届竞赛活动；获得历届</w:t>
      </w:r>
      <w:r>
        <w:rPr>
          <w:color w:val="000000"/>
          <w:lang w:val="zh-CN" w:eastAsia="zh-CN" w:bidi="zh-CN"/>
        </w:rPr>
        <w:t>“挑战</w:t>
      </w:r>
      <w:r>
        <w:rPr>
          <w:color w:val="000000"/>
        </w:rPr>
        <w:t>杯”和</w:t>
      </w:r>
      <w:r>
        <w:rPr>
          <w:color w:val="000000"/>
          <w:lang w:val="zh-CN" w:eastAsia="zh-CN" w:bidi="zh-CN"/>
        </w:rPr>
        <w:t xml:space="preserve">“优胜 </w:t>
      </w:r>
      <w:r>
        <w:rPr>
          <w:color w:val="000000"/>
        </w:rPr>
        <w:t>杯”的学校具有承办下届竞赛的优先权；当届组委会通过一定的 民主程序产生下届承办单位。</w:t>
      </w:r>
    </w:p>
    <w:p>
      <w:pPr>
        <w:pStyle w:val="15"/>
        <w:spacing w:line="566" w:lineRule="exact"/>
        <w:jc w:val="both"/>
      </w:pPr>
      <w:r>
        <w:rPr>
          <w:color w:val="000000"/>
          <w:sz w:val="30"/>
          <w:szCs w:val="30"/>
        </w:rPr>
        <w:t xml:space="preserve">第三十五条 </w:t>
      </w:r>
      <w:r>
        <w:rPr>
          <w:color w:val="000000"/>
        </w:rPr>
        <w:t>竞赛承办单位有权以省级组委员会名义寻求赞助。最高荣誉</w:t>
      </w:r>
      <w:r>
        <w:rPr>
          <w:color w:val="000000"/>
          <w:lang w:val="zh-CN" w:eastAsia="zh-CN" w:bidi="zh-CN"/>
        </w:rPr>
        <w:t>“挑</w:t>
      </w:r>
      <w:r>
        <w:rPr>
          <w:color w:val="000000"/>
        </w:rPr>
        <w:t>战杯”不得用于寻求赞助。</w:t>
      </w:r>
    </w:p>
    <w:p>
      <w:pPr>
        <w:pStyle w:val="15"/>
        <w:spacing w:after="540" w:line="566" w:lineRule="exact"/>
        <w:jc w:val="both"/>
        <w:rPr>
          <w:color w:val="000000"/>
        </w:rPr>
      </w:pPr>
      <w:r>
        <w:rPr>
          <w:color w:val="000000"/>
          <w:sz w:val="30"/>
          <w:szCs w:val="30"/>
        </w:rPr>
        <w:t xml:space="preserve">第三十六条 </w:t>
      </w:r>
      <w:r>
        <w:rPr>
          <w:color w:val="000000"/>
        </w:rPr>
        <w:t>本章程自省级组织委员会审议通过之日起生效，由竞赛主办单位及省级组织委员会秘书处负责解释。</w:t>
      </w:r>
    </w:p>
    <w:p>
      <w:pPr>
        <w:pStyle w:val="15"/>
        <w:spacing w:after="540" w:line="566" w:lineRule="exact"/>
        <w:jc w:val="both"/>
        <w:rPr>
          <w:color w:val="000000"/>
        </w:rPr>
      </w:pPr>
    </w:p>
    <w:p>
      <w:pPr>
        <w:pStyle w:val="15"/>
        <w:spacing w:after="540" w:line="566" w:lineRule="exact"/>
        <w:jc w:val="both"/>
        <w:rPr>
          <w:color w:val="000000"/>
        </w:rPr>
      </w:pPr>
    </w:p>
    <w:p>
      <w:pPr>
        <w:pStyle w:val="15"/>
        <w:spacing w:after="540" w:line="566" w:lineRule="exact"/>
        <w:jc w:val="both"/>
        <w:rPr>
          <w:color w:val="000000"/>
        </w:rPr>
      </w:pPr>
    </w:p>
    <w:p>
      <w:pPr>
        <w:pStyle w:val="15"/>
        <w:spacing w:after="540" w:line="566" w:lineRule="exact"/>
        <w:jc w:val="both"/>
        <w:rPr>
          <w:color w:val="000000"/>
        </w:rPr>
      </w:pPr>
    </w:p>
    <w:p>
      <w:pPr>
        <w:pStyle w:val="15"/>
        <w:spacing w:after="540" w:line="566" w:lineRule="exact"/>
        <w:jc w:val="both"/>
        <w:rPr>
          <w:color w:val="000000"/>
        </w:rPr>
      </w:pPr>
    </w:p>
    <w:p>
      <w:pPr>
        <w:pStyle w:val="15"/>
        <w:spacing w:after="540" w:line="566" w:lineRule="exact"/>
        <w:jc w:val="both"/>
        <w:rPr>
          <w:color w:val="000000"/>
        </w:rPr>
      </w:pPr>
    </w:p>
    <w:p>
      <w:pPr>
        <w:pStyle w:val="15"/>
        <w:spacing w:after="540" w:line="566" w:lineRule="exact"/>
        <w:jc w:val="both"/>
        <w:rPr>
          <w:color w:val="000000"/>
        </w:rPr>
      </w:pPr>
    </w:p>
    <w:p>
      <w:pPr>
        <w:pStyle w:val="15"/>
        <w:spacing w:after="540" w:line="566" w:lineRule="exact"/>
        <w:jc w:val="both"/>
        <w:rPr>
          <w:color w:val="000000"/>
        </w:rPr>
      </w:pPr>
    </w:p>
    <w:p>
      <w:pPr>
        <w:pStyle w:val="15"/>
        <w:spacing w:after="540" w:line="566" w:lineRule="exact"/>
        <w:jc w:val="both"/>
        <w:rPr>
          <w:color w:val="000000"/>
        </w:rPr>
      </w:pPr>
    </w:p>
    <w:p>
      <w:pPr>
        <w:pStyle w:val="15"/>
        <w:spacing w:after="540" w:line="566" w:lineRule="exact"/>
        <w:jc w:val="both"/>
        <w:rPr>
          <w:color w:val="000000"/>
        </w:rPr>
      </w:pPr>
    </w:p>
    <w:p>
      <w:pPr>
        <w:pStyle w:val="15"/>
        <w:spacing w:after="540" w:line="566" w:lineRule="exact"/>
        <w:jc w:val="both"/>
        <w:rPr>
          <w:color w:val="000000"/>
        </w:rPr>
        <w:sectPr>
          <w:footerReference r:id="rId5" w:type="default"/>
          <w:footerReference r:id="rId6" w:type="even"/>
          <w:type w:val="continuous"/>
          <w:pgSz w:w="11900" w:h="16840"/>
          <w:pgMar w:top="2042" w:right="1363" w:bottom="1826" w:left="1498" w:header="0" w:footer="3" w:gutter="0"/>
          <w:cols w:space="720" w:num="1"/>
          <w:docGrid w:linePitch="360" w:charSpace="0"/>
        </w:sectPr>
      </w:pPr>
    </w:p>
    <w:p>
      <w:pPr>
        <w:pStyle w:val="14"/>
        <w:keepNext/>
        <w:keepLines/>
        <w:spacing w:after="100" w:line="710" w:lineRule="exact"/>
      </w:pPr>
      <w:bookmarkStart w:id="41" w:name="bookmark44"/>
      <w:bookmarkStart w:id="42" w:name="bookmark46"/>
      <w:bookmarkStart w:id="43" w:name="bookmark45"/>
      <w:r>
        <w:rPr>
          <w:color w:val="000000"/>
        </w:rPr>
        <w:t>第十四届</w:t>
      </w:r>
      <w:r>
        <w:rPr>
          <w:color w:val="000000"/>
          <w:lang w:val="zh-CN" w:eastAsia="zh-CN" w:bidi="zh-CN"/>
        </w:rPr>
        <w:t>“挑</w:t>
      </w:r>
      <w:r>
        <w:rPr>
          <w:color w:val="000000"/>
        </w:rPr>
        <w:t>战杯</w:t>
      </w:r>
      <w:r>
        <w:rPr>
          <w:color w:val="000000"/>
          <w:lang w:val="zh-CN" w:eastAsia="zh-CN" w:bidi="zh-CN"/>
        </w:rPr>
        <w:t>”湖南</w:t>
      </w:r>
      <w:r>
        <w:rPr>
          <w:color w:val="000000"/>
        </w:rPr>
        <w:t>省大学生课外学术科</w:t>
      </w:r>
      <w:r>
        <w:rPr>
          <w:color w:val="000000"/>
        </w:rPr>
        <w:br w:type="textWrapping"/>
      </w:r>
      <w:r>
        <w:rPr>
          <w:color w:val="000000"/>
        </w:rPr>
        <w:t>技作品竞赛评审规则</w:t>
      </w:r>
      <w:bookmarkEnd w:id="41"/>
      <w:bookmarkEnd w:id="42"/>
      <w:bookmarkEnd w:id="43"/>
    </w:p>
    <w:p>
      <w:pPr>
        <w:pStyle w:val="16"/>
        <w:spacing w:after="720" w:line="562" w:lineRule="exact"/>
        <w:ind w:firstLine="0"/>
        <w:jc w:val="center"/>
      </w:pPr>
      <w:r>
        <w:rPr>
          <w:b/>
          <w:bCs/>
          <w:color w:val="000000"/>
        </w:rPr>
        <w:t>（草案）</w:t>
      </w:r>
    </w:p>
    <w:p>
      <w:pPr>
        <w:pStyle w:val="16"/>
        <w:tabs>
          <w:tab w:val="left" w:pos="1270"/>
        </w:tabs>
        <w:spacing w:line="562" w:lineRule="exact"/>
        <w:ind w:firstLine="640"/>
        <w:jc w:val="both"/>
        <w:rPr>
          <w:sz w:val="30"/>
          <w:szCs w:val="30"/>
        </w:rPr>
      </w:pPr>
      <w:bookmarkStart w:id="44" w:name="bookmark47"/>
      <w:r>
        <w:rPr>
          <w:color w:val="000000"/>
          <w:sz w:val="30"/>
          <w:szCs w:val="30"/>
        </w:rPr>
        <w:t>一</w:t>
      </w:r>
      <w:bookmarkEnd w:id="44"/>
      <w:r>
        <w:rPr>
          <w:color w:val="000000"/>
          <w:sz w:val="30"/>
          <w:szCs w:val="30"/>
        </w:rPr>
        <w:t>、</w:t>
      </w:r>
      <w:r>
        <w:rPr>
          <w:color w:val="000000"/>
          <w:sz w:val="30"/>
          <w:szCs w:val="30"/>
        </w:rPr>
        <w:tab/>
      </w:r>
      <w:r>
        <w:rPr>
          <w:color w:val="000000"/>
          <w:sz w:val="30"/>
          <w:szCs w:val="30"/>
        </w:rPr>
        <w:t>本规则依据《第十四届</w:t>
      </w:r>
      <w:r>
        <w:rPr>
          <w:color w:val="000000"/>
          <w:sz w:val="30"/>
          <w:szCs w:val="30"/>
          <w:lang w:val="zh-CN" w:eastAsia="zh-CN" w:bidi="zh-CN"/>
        </w:rPr>
        <w:t>“挑</w:t>
      </w:r>
      <w:r>
        <w:rPr>
          <w:color w:val="000000"/>
          <w:sz w:val="30"/>
          <w:szCs w:val="30"/>
        </w:rPr>
        <w:t>战杯”湖南省大学生课外学术科技作品竞赛章程》制定，省级评审委员会依据本规则制定评 审实施细则。</w:t>
      </w:r>
    </w:p>
    <w:p>
      <w:pPr>
        <w:pStyle w:val="16"/>
        <w:tabs>
          <w:tab w:val="left" w:pos="1267"/>
        </w:tabs>
        <w:spacing w:line="562" w:lineRule="exact"/>
        <w:ind w:firstLine="640"/>
        <w:jc w:val="both"/>
        <w:rPr>
          <w:sz w:val="30"/>
          <w:szCs w:val="30"/>
        </w:rPr>
      </w:pPr>
      <w:bookmarkStart w:id="45" w:name="bookmark48"/>
      <w:r>
        <w:rPr>
          <w:color w:val="000000"/>
          <w:sz w:val="30"/>
          <w:szCs w:val="30"/>
        </w:rPr>
        <w:t>二</w:t>
      </w:r>
      <w:bookmarkEnd w:id="45"/>
      <w:r>
        <w:rPr>
          <w:color w:val="000000"/>
          <w:sz w:val="30"/>
          <w:szCs w:val="30"/>
        </w:rPr>
        <w:t>、</w:t>
      </w:r>
      <w:r>
        <w:rPr>
          <w:color w:val="000000"/>
          <w:sz w:val="30"/>
          <w:szCs w:val="30"/>
        </w:rPr>
        <w:tab/>
      </w:r>
      <w:r>
        <w:rPr>
          <w:color w:val="000000"/>
          <w:sz w:val="30"/>
          <w:szCs w:val="30"/>
        </w:rPr>
        <w:t>省级评审委员会的组成</w:t>
      </w:r>
    </w:p>
    <w:p>
      <w:pPr>
        <w:pStyle w:val="16"/>
        <w:numPr>
          <w:ilvl w:val="0"/>
          <w:numId w:val="8"/>
        </w:numPr>
        <w:tabs>
          <w:tab w:val="left" w:pos="1078"/>
        </w:tabs>
        <w:spacing w:line="562" w:lineRule="exact"/>
        <w:ind w:firstLine="640"/>
        <w:jc w:val="both"/>
      </w:pPr>
      <w:bookmarkStart w:id="46" w:name="bookmark49"/>
      <w:bookmarkEnd w:id="46"/>
      <w:r>
        <w:rPr>
          <w:color w:val="000000"/>
        </w:rPr>
        <w:t>省级评审委员会由主办单位聘请非高校的具有高级职称的自然科学领域的专家或高科技企业的技术骨干和哲学社会科 学领域的专家组成。</w:t>
      </w:r>
    </w:p>
    <w:p>
      <w:pPr>
        <w:pStyle w:val="16"/>
        <w:numPr>
          <w:ilvl w:val="0"/>
          <w:numId w:val="8"/>
        </w:numPr>
        <w:tabs>
          <w:tab w:val="left" w:pos="1059"/>
        </w:tabs>
        <w:spacing w:line="562" w:lineRule="exact"/>
        <w:ind w:firstLine="640"/>
        <w:jc w:val="both"/>
      </w:pPr>
      <w:bookmarkStart w:id="47" w:name="bookmark50"/>
      <w:bookmarkEnd w:id="47"/>
      <w:r>
        <w:rPr>
          <w:color w:val="000000"/>
        </w:rPr>
        <w:t>省级评审委员会设主任、副主任、评审委员。下设若干专 业组，各组设组长。</w:t>
      </w:r>
    </w:p>
    <w:p>
      <w:pPr>
        <w:pStyle w:val="16"/>
        <w:numPr>
          <w:ilvl w:val="0"/>
          <w:numId w:val="8"/>
        </w:numPr>
        <w:tabs>
          <w:tab w:val="left" w:pos="1050"/>
        </w:tabs>
        <w:spacing w:line="562" w:lineRule="exact"/>
        <w:ind w:firstLine="640"/>
        <w:jc w:val="both"/>
      </w:pPr>
      <w:bookmarkStart w:id="48" w:name="bookmark51"/>
      <w:bookmarkEnd w:id="48"/>
      <w:r>
        <w:rPr>
          <w:color w:val="000000"/>
        </w:rPr>
        <w:t>省级评审委员会成员名单在终审完毕之前实行保密，在终审结束后可以公布。</w:t>
      </w:r>
    </w:p>
    <w:p>
      <w:pPr>
        <w:pStyle w:val="16"/>
        <w:numPr>
          <w:ilvl w:val="0"/>
          <w:numId w:val="8"/>
        </w:numPr>
        <w:tabs>
          <w:tab w:val="left" w:pos="1069"/>
        </w:tabs>
        <w:spacing w:line="595" w:lineRule="exact"/>
        <w:ind w:firstLine="640"/>
        <w:jc w:val="both"/>
      </w:pPr>
      <w:bookmarkStart w:id="49" w:name="bookmark52"/>
      <w:bookmarkEnd w:id="49"/>
      <w:r>
        <w:rPr>
          <w:color w:val="000000"/>
        </w:rPr>
        <w:t>省级评审委员会在向省级组织委员会报告终审结果后解散。</w:t>
      </w:r>
    </w:p>
    <w:p>
      <w:pPr>
        <w:pStyle w:val="16"/>
        <w:tabs>
          <w:tab w:val="left" w:pos="1267"/>
        </w:tabs>
        <w:spacing w:line="562" w:lineRule="exact"/>
        <w:ind w:firstLine="640"/>
        <w:jc w:val="both"/>
        <w:rPr>
          <w:sz w:val="30"/>
          <w:szCs w:val="30"/>
        </w:rPr>
      </w:pPr>
      <w:bookmarkStart w:id="50" w:name="bookmark53"/>
      <w:r>
        <w:rPr>
          <w:color w:val="000000"/>
          <w:sz w:val="30"/>
          <w:szCs w:val="30"/>
        </w:rPr>
        <w:t>三</w:t>
      </w:r>
      <w:bookmarkEnd w:id="50"/>
      <w:r>
        <w:rPr>
          <w:color w:val="000000"/>
          <w:sz w:val="30"/>
          <w:szCs w:val="30"/>
        </w:rPr>
        <w:t>、</w:t>
      </w:r>
      <w:r>
        <w:rPr>
          <w:color w:val="000000"/>
          <w:sz w:val="30"/>
          <w:szCs w:val="30"/>
        </w:rPr>
        <w:tab/>
      </w:r>
      <w:r>
        <w:rPr>
          <w:color w:val="000000"/>
          <w:sz w:val="30"/>
          <w:szCs w:val="30"/>
        </w:rPr>
        <w:t>评审工作的基本原则</w:t>
      </w:r>
    </w:p>
    <w:p>
      <w:pPr>
        <w:pStyle w:val="16"/>
        <w:spacing w:line="552" w:lineRule="exact"/>
        <w:ind w:firstLine="560" w:firstLineChars="200"/>
        <w:jc w:val="both"/>
      </w:pPr>
      <w:bookmarkStart w:id="51" w:name="bookmark54"/>
      <w:bookmarkEnd w:id="51"/>
      <w:r>
        <w:rPr>
          <w:rFonts w:hint="eastAsia"/>
          <w:color w:val="000000"/>
          <w:lang w:val="en-US" w:eastAsia="zh-CN"/>
        </w:rPr>
        <w:t>1.</w:t>
      </w:r>
      <w:r>
        <w:rPr>
          <w:color w:val="000000"/>
        </w:rPr>
        <w:t>参赛作品分自然科学类学术论文、哲学社会科学类社会调查报告和学术论文、科技发明制作三类。自然科学类学术论文的 作者限本专科生。哲学社会科学类按照哲学、经济、社会、法律、 教育、管理</w:t>
      </w:r>
      <w:r>
        <w:rPr>
          <w:color w:val="000000"/>
          <w:sz w:val="32"/>
          <w:szCs w:val="32"/>
        </w:rPr>
        <w:t>6</w:t>
      </w:r>
      <w:r>
        <w:rPr>
          <w:color w:val="000000"/>
        </w:rPr>
        <w:t>个学科报送社会调查报告和学术论文。</w:t>
      </w:r>
    </w:p>
    <w:p>
      <w:pPr>
        <w:pStyle w:val="16"/>
        <w:tabs>
          <w:tab w:val="left" w:pos="1035"/>
        </w:tabs>
        <w:spacing w:line="568" w:lineRule="exact"/>
        <w:ind w:firstLine="560" w:firstLineChars="200"/>
        <w:jc w:val="both"/>
      </w:pPr>
      <w:bookmarkStart w:id="52" w:name="bookmark55"/>
      <w:bookmarkEnd w:id="52"/>
      <w:r>
        <w:rPr>
          <w:rFonts w:hint="eastAsia"/>
          <w:color w:val="000000"/>
          <w:lang w:val="en-US" w:eastAsia="zh-CN"/>
        </w:rPr>
        <w:t>2.</w:t>
      </w:r>
      <w:r>
        <w:rPr>
          <w:color w:val="000000"/>
        </w:rPr>
        <w:t>评审过程中综合考虑作品的科学性、先进性、现实意义等方面因素。其中，自然科学类学术论文侧重考核基础学科学术探 索的前沿性和学术性，哲学社会科学类社会调查报告和学术论文 侧重考核与经济社会发展热点难点问题的结合程度和前瞻意义， 科技发明制作侧重考核作品的应用价值和转化前景。</w:t>
      </w:r>
    </w:p>
    <w:p>
      <w:pPr>
        <w:pStyle w:val="16"/>
        <w:tabs>
          <w:tab w:val="left" w:pos="1045"/>
        </w:tabs>
        <w:spacing w:line="590" w:lineRule="exact"/>
        <w:ind w:firstLine="560" w:firstLineChars="200"/>
        <w:jc w:val="both"/>
      </w:pPr>
      <w:bookmarkStart w:id="53" w:name="bookmark56"/>
      <w:bookmarkEnd w:id="53"/>
      <w:r>
        <w:rPr>
          <w:rFonts w:hint="eastAsia"/>
          <w:color w:val="000000"/>
          <w:lang w:val="en-US" w:eastAsia="zh-CN"/>
        </w:rPr>
        <w:t>3.</w:t>
      </w:r>
      <w:r>
        <w:rPr>
          <w:color w:val="000000"/>
        </w:rPr>
        <w:t>省级评审委员会的评审工作分省级复赛、终审决赛两阶段进行。</w:t>
      </w:r>
    </w:p>
    <w:p>
      <w:pPr>
        <w:pStyle w:val="16"/>
        <w:spacing w:line="562" w:lineRule="exact"/>
        <w:ind w:firstLine="640"/>
        <w:jc w:val="both"/>
      </w:pPr>
      <w:r>
        <w:rPr>
          <w:color w:val="000000"/>
        </w:rPr>
        <w:t>省级复赛要评选出各高校报送的</w:t>
      </w:r>
      <w:r>
        <w:rPr>
          <w:color w:val="000000"/>
          <w:sz w:val="32"/>
          <w:szCs w:val="32"/>
        </w:rPr>
        <w:t>80%</w:t>
      </w:r>
      <w:r>
        <w:rPr>
          <w:color w:val="000000"/>
        </w:rPr>
        <w:t>左右的作品入围获奖 作品；评出入围作品中的</w:t>
      </w:r>
      <w:r>
        <w:rPr>
          <w:color w:val="000000"/>
          <w:sz w:val="32"/>
          <w:szCs w:val="32"/>
        </w:rPr>
        <w:t>65%</w:t>
      </w:r>
      <w:r>
        <w:rPr>
          <w:color w:val="000000"/>
        </w:rPr>
        <w:t>获得三等奖，其余</w:t>
      </w:r>
      <w:r>
        <w:rPr>
          <w:color w:val="000000"/>
          <w:sz w:val="32"/>
          <w:szCs w:val="32"/>
        </w:rPr>
        <w:t>35%</w:t>
      </w:r>
      <w:r>
        <w:rPr>
          <w:color w:val="000000"/>
        </w:rPr>
        <w:t>进入终审决赛。终审决赛评出特等奖、一等奖、二等奖。参赛的自然科学类学术论文、哲学社会科学类社会调查报告和学术论文、科技发明制作三类作品分别按照入围作品</w:t>
      </w:r>
      <w:r>
        <w:rPr>
          <w:color w:val="000000"/>
          <w:sz w:val="32"/>
          <w:szCs w:val="32"/>
        </w:rPr>
        <w:t>3%</w:t>
      </w:r>
      <w:r>
        <w:rPr>
          <w:color w:val="000000"/>
        </w:rPr>
        <w:t>、</w:t>
      </w:r>
      <w:r>
        <w:rPr>
          <w:color w:val="000000"/>
          <w:sz w:val="32"/>
          <w:szCs w:val="32"/>
        </w:rPr>
        <w:t>8%</w:t>
      </w:r>
      <w:r>
        <w:rPr>
          <w:color w:val="000000"/>
        </w:rPr>
        <w:t xml:space="preserve">、 </w:t>
      </w:r>
      <w:r>
        <w:rPr>
          <w:color w:val="000000"/>
          <w:sz w:val="32"/>
          <w:szCs w:val="32"/>
        </w:rPr>
        <w:t>24%. 65%</w:t>
      </w:r>
      <w:r>
        <w:rPr>
          <w:color w:val="000000"/>
        </w:rPr>
        <w:t>的比例评出特等奖、一等奖、二等奖、三等奖。科技发 明制作类中</w:t>
      </w:r>
      <w:r>
        <w:rPr>
          <w:color w:val="000000"/>
          <w:sz w:val="32"/>
          <w:szCs w:val="32"/>
          <w:lang w:val="en-US" w:eastAsia="zh-CN" w:bidi="en-US"/>
        </w:rPr>
        <w:t>A</w:t>
      </w:r>
      <w:r>
        <w:rPr>
          <w:color w:val="000000"/>
        </w:rPr>
        <w:t>类和</w:t>
      </w:r>
      <w:r>
        <w:rPr>
          <w:color w:val="000000"/>
          <w:sz w:val="32"/>
          <w:szCs w:val="32"/>
          <w:lang w:val="en-US" w:eastAsia="zh-CN" w:bidi="en-US"/>
        </w:rPr>
        <w:t>B</w:t>
      </w:r>
      <w:r>
        <w:rPr>
          <w:color w:val="000000"/>
        </w:rPr>
        <w:t>类作品分别按上述比例设奖，各奖励等级之 间的标准是相对的。省级复赛和终审决赛前，组委会根据作品数 量等确定各分类小组授奖数量。</w:t>
      </w:r>
    </w:p>
    <w:p>
      <w:pPr>
        <w:pStyle w:val="16"/>
        <w:tabs>
          <w:tab w:val="left" w:pos="1025"/>
        </w:tabs>
        <w:spacing w:line="564" w:lineRule="exact"/>
        <w:ind w:firstLine="560" w:firstLineChars="200"/>
        <w:jc w:val="both"/>
      </w:pPr>
      <w:bookmarkStart w:id="54" w:name="bookmark57"/>
      <w:bookmarkEnd w:id="54"/>
      <w:r>
        <w:rPr>
          <w:rFonts w:hint="eastAsia"/>
          <w:color w:val="000000"/>
          <w:lang w:val="en-US" w:eastAsia="zh-CN"/>
        </w:rPr>
        <w:t>4.</w:t>
      </w:r>
      <w:r>
        <w:rPr>
          <w:color w:val="000000"/>
        </w:rPr>
        <w:t>评审注意本专科生、硕士研究生在学识水平和科研能力上 的差异，两个学历层次作者的作品各等奖的获奖比例与其进入终 审的比例基本一致。</w:t>
      </w:r>
    </w:p>
    <w:p>
      <w:pPr>
        <w:pStyle w:val="16"/>
        <w:tabs>
          <w:tab w:val="left" w:pos="1051"/>
        </w:tabs>
        <w:spacing w:line="564" w:lineRule="exact"/>
        <w:ind w:firstLine="560" w:firstLineChars="200"/>
        <w:jc w:val="both"/>
      </w:pPr>
      <w:bookmarkStart w:id="55" w:name="bookmark58"/>
      <w:bookmarkEnd w:id="55"/>
      <w:r>
        <w:rPr>
          <w:rFonts w:hint="eastAsia"/>
          <w:color w:val="000000"/>
          <w:lang w:val="en-US" w:eastAsia="zh-CN"/>
        </w:rPr>
        <w:t>5.</w:t>
      </w:r>
      <w:r>
        <w:rPr>
          <w:color w:val="000000"/>
        </w:rPr>
        <w:t>涉及需由有关部门出具证明材料的参赛作品，须按章程相关规定严格把关。</w:t>
      </w:r>
    </w:p>
    <w:p>
      <w:pPr>
        <w:pStyle w:val="16"/>
        <w:tabs>
          <w:tab w:val="left" w:pos="1045"/>
        </w:tabs>
        <w:spacing w:line="565" w:lineRule="exact"/>
        <w:ind w:firstLine="560" w:firstLineChars="200"/>
        <w:jc w:val="both"/>
      </w:pPr>
      <w:bookmarkStart w:id="56" w:name="bookmark59"/>
      <w:bookmarkEnd w:id="56"/>
      <w:r>
        <w:rPr>
          <w:rFonts w:hint="eastAsia"/>
          <w:color w:val="000000"/>
          <w:lang w:val="en-US" w:eastAsia="zh-CN"/>
        </w:rPr>
        <w:t>6.</w:t>
      </w:r>
      <w:r>
        <w:rPr>
          <w:color w:val="000000"/>
        </w:rPr>
        <w:t>评审实行回避制度和保密制度。评委须严格遵守《评审纪律》，评审前须签订《评审纪律承诺书》。评委不得参与其本人 亲属、学生或与其有直接利益关系的个人和单位的有关作品评审 工作。在评审结束之前，任何评委不得以任何方式对外宣布、泄 露评审情况和结果。</w:t>
      </w:r>
    </w:p>
    <w:p>
      <w:pPr>
        <w:pStyle w:val="16"/>
        <w:tabs>
          <w:tab w:val="left" w:pos="1051"/>
        </w:tabs>
        <w:spacing w:line="562" w:lineRule="exact"/>
        <w:ind w:firstLine="560" w:firstLineChars="200"/>
        <w:jc w:val="both"/>
      </w:pPr>
      <w:bookmarkStart w:id="57" w:name="bookmark60"/>
      <w:bookmarkEnd w:id="57"/>
      <w:r>
        <w:rPr>
          <w:rFonts w:hint="eastAsia"/>
          <w:color w:val="000000"/>
          <w:lang w:val="en-US" w:eastAsia="zh-CN"/>
        </w:rPr>
        <w:t>7.</w:t>
      </w:r>
      <w:r>
        <w:rPr>
          <w:color w:val="000000"/>
        </w:rPr>
        <w:t>省级评审委员会的评审工作按《评审实施细则》规定执行。</w:t>
      </w:r>
    </w:p>
    <w:p>
      <w:pPr>
        <w:pStyle w:val="16"/>
        <w:spacing w:line="562" w:lineRule="exact"/>
        <w:ind w:firstLine="640"/>
        <w:jc w:val="both"/>
        <w:rPr>
          <w:sz w:val="30"/>
          <w:szCs w:val="30"/>
        </w:rPr>
      </w:pPr>
      <w:bookmarkStart w:id="58" w:name="bookmark61"/>
      <w:r>
        <w:rPr>
          <w:color w:val="000000"/>
          <w:sz w:val="30"/>
          <w:szCs w:val="30"/>
        </w:rPr>
        <w:t>四</w:t>
      </w:r>
      <w:bookmarkEnd w:id="58"/>
      <w:r>
        <w:rPr>
          <w:color w:val="000000"/>
          <w:sz w:val="30"/>
          <w:szCs w:val="30"/>
        </w:rPr>
        <w:t>、评审程序</w:t>
      </w:r>
    </w:p>
    <w:p>
      <w:pPr>
        <w:pStyle w:val="16"/>
        <w:numPr>
          <w:ilvl w:val="0"/>
          <w:numId w:val="9"/>
        </w:numPr>
        <w:tabs>
          <w:tab w:val="left" w:pos="1102"/>
        </w:tabs>
        <w:spacing w:line="562" w:lineRule="exact"/>
        <w:ind w:firstLine="640"/>
        <w:jc w:val="both"/>
      </w:pPr>
      <w:bookmarkStart w:id="59" w:name="bookmark62"/>
      <w:bookmarkEnd w:id="59"/>
      <w:r>
        <w:rPr>
          <w:color w:val="000000"/>
        </w:rPr>
        <w:t>各高校组织协调委员会要对标章程，对报送的作品进行严格的资格和形式审查，校级评审委员会对报送作品进行</w:t>
      </w:r>
      <w:r>
        <w:rPr>
          <w:rFonts w:hint="eastAsia"/>
          <w:color w:val="000000"/>
          <w:lang w:eastAsia="zh-CN"/>
        </w:rPr>
        <w:t>认真地初</w:t>
      </w:r>
      <w:r>
        <w:rPr>
          <w:color w:val="000000"/>
        </w:rPr>
        <w:t>评。</w:t>
      </w:r>
    </w:p>
    <w:p>
      <w:pPr>
        <w:pStyle w:val="16"/>
        <w:numPr>
          <w:ilvl w:val="0"/>
          <w:numId w:val="9"/>
        </w:numPr>
        <w:tabs>
          <w:tab w:val="left" w:pos="1078"/>
        </w:tabs>
        <w:spacing w:line="581" w:lineRule="exact"/>
        <w:ind w:firstLine="640"/>
        <w:jc w:val="both"/>
      </w:pPr>
      <w:bookmarkStart w:id="60" w:name="bookmark63"/>
      <w:bookmarkEnd w:id="60"/>
      <w:r>
        <w:rPr>
          <w:color w:val="000000"/>
        </w:rPr>
        <w:t>省级组织委员会秘书处对各高校组委会报送的参赛作品进行资格及形式审查，不合格的作品取消参赛资格。</w:t>
      </w:r>
    </w:p>
    <w:p>
      <w:pPr>
        <w:pStyle w:val="16"/>
        <w:numPr>
          <w:ilvl w:val="0"/>
          <w:numId w:val="9"/>
        </w:numPr>
        <w:tabs>
          <w:tab w:val="left" w:pos="1074"/>
        </w:tabs>
        <w:spacing w:line="569" w:lineRule="exact"/>
        <w:ind w:firstLine="640"/>
        <w:jc w:val="both"/>
      </w:pPr>
      <w:bookmarkStart w:id="61" w:name="bookmark64"/>
      <w:bookmarkEnd w:id="61"/>
      <w:r>
        <w:rPr>
          <w:color w:val="000000"/>
        </w:rPr>
        <w:t>省级复赛在承办单位所在地进行，自然科学类学术论文和科技发明制作类的作品复赛评审，复赛评审要提出是否进入终审决赛和获奖等级初步意见。</w:t>
      </w:r>
    </w:p>
    <w:p>
      <w:pPr>
        <w:pStyle w:val="16"/>
        <w:numPr>
          <w:ilvl w:val="0"/>
          <w:numId w:val="9"/>
        </w:numPr>
        <w:tabs>
          <w:tab w:val="left" w:pos="1050"/>
        </w:tabs>
        <w:spacing w:line="581" w:lineRule="exact"/>
        <w:ind w:firstLine="640"/>
        <w:jc w:val="both"/>
      </w:pPr>
      <w:bookmarkStart w:id="62" w:name="bookmark65"/>
      <w:bookmarkEnd w:id="62"/>
      <w:r>
        <w:rPr>
          <w:color w:val="000000"/>
        </w:rPr>
        <w:t>终审决赛期间，评委在组委会安排的专门时间集体到展厅审看发明制作类作品的实物。</w:t>
      </w:r>
    </w:p>
    <w:p>
      <w:pPr>
        <w:pStyle w:val="16"/>
        <w:numPr>
          <w:ilvl w:val="0"/>
          <w:numId w:val="9"/>
        </w:numPr>
        <w:tabs>
          <w:tab w:val="left" w:pos="1075"/>
        </w:tabs>
        <w:spacing w:line="581" w:lineRule="exact"/>
        <w:ind w:firstLine="640"/>
        <w:jc w:val="both"/>
      </w:pPr>
      <w:bookmarkStart w:id="63" w:name="bookmark66"/>
      <w:bookmarkEnd w:id="63"/>
      <w:r>
        <w:rPr>
          <w:color w:val="000000"/>
        </w:rPr>
        <w:t>终审决赛一律实行公开答辩制。</w:t>
      </w:r>
    </w:p>
    <w:p>
      <w:pPr>
        <w:pStyle w:val="16"/>
        <w:numPr>
          <w:ilvl w:val="0"/>
          <w:numId w:val="9"/>
        </w:numPr>
        <w:tabs>
          <w:tab w:val="left" w:pos="1078"/>
        </w:tabs>
        <w:spacing w:line="574" w:lineRule="exact"/>
        <w:ind w:firstLine="640"/>
        <w:jc w:val="both"/>
      </w:pPr>
      <w:bookmarkStart w:id="64" w:name="bookmark67"/>
      <w:bookmarkEnd w:id="64"/>
      <w:r>
        <w:rPr>
          <w:color w:val="000000"/>
        </w:rPr>
        <w:t>评委可以对所评审的作品的资格提出质疑，并提出质疑理由、证据或线索。受到评委质疑的作品，将按程序评定其参赛资 格。</w:t>
      </w:r>
    </w:p>
    <w:p>
      <w:pPr>
        <w:pStyle w:val="16"/>
        <w:numPr>
          <w:ilvl w:val="0"/>
          <w:numId w:val="9"/>
        </w:numPr>
        <w:spacing w:line="564" w:lineRule="exact"/>
        <w:ind w:firstLine="640"/>
        <w:jc w:val="both"/>
      </w:pPr>
      <w:bookmarkStart w:id="65" w:name="bookmark68"/>
      <w:bookmarkEnd w:id="65"/>
      <w:r>
        <w:rPr>
          <w:color w:val="000000"/>
        </w:rPr>
        <w:t>评委会应于终审开始时在主任的主持下召开评委会全体会议，听取组委会对竞赛活动情况的通报。</w:t>
      </w:r>
    </w:p>
    <w:p>
      <w:pPr>
        <w:pStyle w:val="16"/>
        <w:tabs>
          <w:tab w:val="left" w:pos="1272"/>
        </w:tabs>
        <w:spacing w:line="564" w:lineRule="exact"/>
        <w:ind w:firstLine="640"/>
        <w:jc w:val="both"/>
        <w:rPr>
          <w:sz w:val="30"/>
          <w:szCs w:val="30"/>
        </w:rPr>
      </w:pPr>
      <w:bookmarkStart w:id="66" w:name="bookmark69"/>
      <w:r>
        <w:rPr>
          <w:color w:val="000000"/>
          <w:sz w:val="30"/>
          <w:szCs w:val="30"/>
        </w:rPr>
        <w:t>五</w:t>
      </w:r>
      <w:bookmarkEnd w:id="66"/>
      <w:r>
        <w:rPr>
          <w:color w:val="000000"/>
          <w:sz w:val="30"/>
          <w:szCs w:val="30"/>
        </w:rPr>
        <w:t>、</w:t>
      </w:r>
      <w:r>
        <w:rPr>
          <w:color w:val="000000"/>
          <w:sz w:val="30"/>
          <w:szCs w:val="30"/>
        </w:rPr>
        <w:tab/>
      </w:r>
      <w:r>
        <w:rPr>
          <w:color w:val="000000"/>
          <w:sz w:val="30"/>
          <w:szCs w:val="30"/>
        </w:rPr>
        <w:t>各高校初评工作，由该校评审委员会参照上述规则主持。</w:t>
      </w:r>
    </w:p>
    <w:p>
      <w:pPr>
        <w:pStyle w:val="16"/>
        <w:tabs>
          <w:tab w:val="left" w:pos="1275"/>
        </w:tabs>
        <w:spacing w:line="564" w:lineRule="exact"/>
        <w:ind w:firstLine="640"/>
        <w:jc w:val="both"/>
        <w:rPr>
          <w:sz w:val="30"/>
          <w:szCs w:val="30"/>
        </w:rPr>
        <w:sectPr>
          <w:footerReference r:id="rId7" w:type="default"/>
          <w:footerReference r:id="rId8" w:type="even"/>
          <w:type w:val="continuous"/>
          <w:pgSz w:w="11900" w:h="16840"/>
          <w:pgMar w:top="2042" w:right="1363" w:bottom="1826" w:left="1498" w:header="0" w:footer="3" w:gutter="0"/>
          <w:cols w:space="720" w:num="1"/>
          <w:docGrid w:linePitch="360" w:charSpace="0"/>
        </w:sectPr>
      </w:pPr>
      <w:bookmarkStart w:id="67" w:name="bookmark70"/>
      <w:r>
        <w:rPr>
          <w:color w:val="000000"/>
          <w:sz w:val="30"/>
          <w:szCs w:val="30"/>
        </w:rPr>
        <w:t>六</w:t>
      </w:r>
      <w:bookmarkEnd w:id="67"/>
      <w:r>
        <w:rPr>
          <w:color w:val="000000"/>
          <w:sz w:val="30"/>
          <w:szCs w:val="30"/>
        </w:rPr>
        <w:t>、</w:t>
      </w:r>
      <w:r>
        <w:rPr>
          <w:color w:val="000000"/>
          <w:sz w:val="30"/>
          <w:szCs w:val="30"/>
        </w:rPr>
        <w:tab/>
      </w:r>
      <w:r>
        <w:rPr>
          <w:color w:val="000000"/>
          <w:sz w:val="30"/>
          <w:szCs w:val="30"/>
        </w:rPr>
        <w:t>本规则由竞赛主办单位负责解释，并由主办单位根据省级组织委员会的意见修改。</w:t>
      </w:r>
    </w:p>
    <w:p>
      <w:pPr>
        <w:pStyle w:val="14"/>
        <w:keepNext/>
        <w:keepLines/>
        <w:spacing w:after="660" w:line="240" w:lineRule="auto"/>
      </w:pPr>
      <w:bookmarkStart w:id="68" w:name="bookmark72"/>
      <w:bookmarkStart w:id="69" w:name="bookmark71"/>
      <w:bookmarkStart w:id="70" w:name="bookmark73"/>
      <w:r>
        <w:rPr>
          <w:color w:val="000000"/>
        </w:rPr>
        <w:t>哲学社会科学类参赛指引</w:t>
      </w:r>
      <w:bookmarkEnd w:id="68"/>
      <w:bookmarkEnd w:id="69"/>
      <w:bookmarkEnd w:id="70"/>
    </w:p>
    <w:p>
      <w:pPr>
        <w:pStyle w:val="16"/>
        <w:spacing w:line="559" w:lineRule="exact"/>
        <w:ind w:firstLine="640"/>
        <w:jc w:val="both"/>
      </w:pPr>
      <w:r>
        <w:rPr>
          <w:color w:val="000000"/>
        </w:rPr>
        <w:t>习近平总书记深刻指出</w:t>
      </w:r>
      <w:r>
        <w:rPr>
          <w:color w:val="000000"/>
          <w:lang w:val="zh-CN" w:eastAsia="zh-CN" w:bidi="zh-CN"/>
        </w:rPr>
        <w:t>“哲学</w:t>
      </w:r>
      <w:r>
        <w:rPr>
          <w:color w:val="000000"/>
        </w:rPr>
        <w:t>社会科学工作者要走出象牙塔，多到实地调查研究，了解百姓生活状况、把握群众思想脉搏</w:t>
      </w:r>
      <w:r>
        <w:rPr>
          <w:rFonts w:hint="eastAsia"/>
          <w:color w:val="000000"/>
          <w:lang w:eastAsia="zh-CN"/>
        </w:rPr>
        <w:t>，</w:t>
      </w:r>
      <w:r>
        <w:rPr>
          <w:color w:val="000000"/>
        </w:rPr>
        <w:t xml:space="preserve"> 着眼群众需要解疑释惑、阐明道理，把学问写进群众心坎里。”</w:t>
      </w:r>
    </w:p>
    <w:p>
      <w:pPr>
        <w:pStyle w:val="16"/>
        <w:spacing w:line="559" w:lineRule="exact"/>
        <w:ind w:firstLine="640"/>
        <w:jc w:val="both"/>
      </w:pPr>
      <w:r>
        <w:rPr>
          <w:color w:val="000000"/>
        </w:rPr>
        <w:t>参赛学生应始终牢记习近平总书记嘱托，坚持走进实践深处，观照人民生活，从中国实践中来、到中国实践中去，把论文 写在祖国大地上，准确把握新发展阶段的新要求，围绕哲学、经 济、社会、法律、教育、管理</w:t>
      </w:r>
      <w:r>
        <w:rPr>
          <w:color w:val="000000"/>
          <w:sz w:val="32"/>
          <w:szCs w:val="32"/>
        </w:rPr>
        <w:t>6</w:t>
      </w:r>
      <w:r>
        <w:rPr>
          <w:color w:val="000000"/>
        </w:rPr>
        <w:t>个学科形成社会调查报告和学 术论文。</w:t>
      </w:r>
    </w:p>
    <w:p>
      <w:pPr>
        <w:pStyle w:val="16"/>
        <w:spacing w:after="140" w:line="559" w:lineRule="exact"/>
        <w:ind w:firstLine="640"/>
        <w:jc w:val="both"/>
      </w:pPr>
      <w:r>
        <w:rPr>
          <w:color w:val="000000"/>
        </w:rPr>
        <w:t>参赛作品总体要求：鼓励参赛学生认真学习党的十九大和十九届五中全会重要精神，自觉运用马克思主义立场观点方法分析 和解决实际问题，积极弘扬社会主义核心价值观，结合对经济建设、政治建设、文化建设、社会建设、生态文明建设等方面的要求，用建设性的态度和改革发展的眼光，贴近实际、贴近生活、 贴近群众，典型调查，以小见大，独立思考，了解新情况，反映新问题，体认新实践，研究新经验，深刻认识国情，拓展时代视 野，加深对中国特色社会主义道路、理论和制度的理解和把握，树立正确的世界观、人生观、价值观，培养实事求是、以人为本、 与时俱进、艰苦奋斗、勇于创新和科学严谨的精神，锻炼运用科 学理论认识、分析和解决实际问题的能力。</w:t>
      </w:r>
    </w:p>
    <w:p>
      <w:pPr>
        <w:pStyle w:val="16"/>
        <w:spacing w:line="566" w:lineRule="exact"/>
        <w:ind w:firstLine="640"/>
        <w:jc w:val="both"/>
      </w:pPr>
      <w:r>
        <w:rPr>
          <w:color w:val="000000"/>
        </w:rPr>
        <w:t>参赛的作品，调查报告类每篇在</w:t>
      </w:r>
      <w:r>
        <w:rPr>
          <w:color w:val="000000"/>
          <w:sz w:val="32"/>
          <w:szCs w:val="32"/>
        </w:rPr>
        <w:t>15000</w:t>
      </w:r>
      <w:r>
        <w:rPr>
          <w:color w:val="000000"/>
        </w:rPr>
        <w:t>字以内，论文类每篇在</w:t>
      </w:r>
      <w:r>
        <w:rPr>
          <w:color w:val="000000"/>
          <w:sz w:val="32"/>
          <w:szCs w:val="32"/>
        </w:rPr>
        <w:t>8000</w:t>
      </w:r>
      <w:r>
        <w:rPr>
          <w:color w:val="000000"/>
        </w:rPr>
        <w:t>字以内，调查报告可自选上述</w:t>
      </w:r>
      <w:r>
        <w:rPr>
          <w:color w:val="000000"/>
          <w:sz w:val="32"/>
          <w:szCs w:val="32"/>
        </w:rPr>
        <w:t>6</w:t>
      </w:r>
      <w:r>
        <w:rPr>
          <w:color w:val="000000"/>
        </w:rPr>
        <w:t>个学科中的一个报送。 为党政部门、企事业单位所作的各类发展规划、工作方案和咨询报告，已被采用者亦可申报参赛，同时附上原件和采用单位证明 的复印件和鉴定材料等。</w:t>
      </w:r>
    </w:p>
    <w:p>
      <w:pPr>
        <w:pStyle w:val="16"/>
        <w:spacing w:line="566" w:lineRule="exact"/>
        <w:ind w:firstLine="640"/>
        <w:jc w:val="both"/>
        <w:sectPr>
          <w:pgSz w:w="11900" w:h="16840"/>
          <w:pgMar w:top="2127" w:right="1390" w:bottom="1994" w:left="1476" w:header="0" w:footer="3" w:gutter="0"/>
          <w:cols w:space="720" w:num="1"/>
          <w:docGrid w:linePitch="360" w:charSpace="0"/>
        </w:sectPr>
      </w:pPr>
      <w:r>
        <w:rPr>
          <w:color w:val="000000"/>
        </w:rPr>
        <w:t>为贯</w:t>
      </w:r>
      <w:r>
        <w:rPr>
          <w:rFonts w:hint="eastAsia"/>
          <w:color w:val="000000"/>
          <w:lang w:val="en-US" w:eastAsia="zh-CN"/>
        </w:rPr>
        <w:t>彻</w:t>
      </w:r>
      <w:r>
        <w:rPr>
          <w:color w:val="000000"/>
          <w:lang w:val="zh-CN" w:eastAsia="zh-CN" w:bidi="zh-CN"/>
        </w:rPr>
        <w:t>“挑</w:t>
      </w:r>
      <w:r>
        <w:rPr>
          <w:color w:val="000000"/>
        </w:rPr>
        <w:t>战杯”竞赛的宗旨，帮助参赛学生将所学知识与经济社会发展紧密结合，更好地进行参赛作品选题制作，关于</w:t>
      </w:r>
      <w:r>
        <w:rPr>
          <w:color w:val="000000"/>
          <w:sz w:val="32"/>
          <w:szCs w:val="32"/>
        </w:rPr>
        <w:t>6</w:t>
      </w:r>
      <w:r>
        <w:rPr>
          <w:color w:val="000000"/>
        </w:rPr>
        <w:t>个学科特请有关专家拟定了参考题目。</w:t>
      </w:r>
    </w:p>
    <w:p>
      <w:pPr>
        <w:pStyle w:val="16"/>
        <w:spacing w:after="620" w:line="240" w:lineRule="auto"/>
        <w:ind w:firstLine="0"/>
        <w:jc w:val="center"/>
        <w:rPr>
          <w:sz w:val="30"/>
          <w:szCs w:val="30"/>
        </w:rPr>
      </w:pPr>
      <w:r>
        <w:rPr>
          <w:color w:val="000000"/>
          <w:sz w:val="30"/>
          <w:szCs w:val="30"/>
        </w:rPr>
        <w:t>哲学类</w:t>
      </w:r>
    </w:p>
    <w:p>
      <w:pPr>
        <w:pStyle w:val="16"/>
        <w:numPr>
          <w:ilvl w:val="0"/>
          <w:numId w:val="10"/>
        </w:numPr>
        <w:tabs>
          <w:tab w:val="left" w:pos="1098"/>
        </w:tabs>
        <w:spacing w:line="571" w:lineRule="exact"/>
        <w:ind w:firstLine="640"/>
        <w:jc w:val="both"/>
      </w:pPr>
      <w:bookmarkStart w:id="71" w:name="bookmark74"/>
      <w:bookmarkEnd w:id="71"/>
      <w:r>
        <w:rPr>
          <w:color w:val="000000"/>
        </w:rPr>
        <w:t>深刻总结中国共产党的百年光辉历程、伟大贡献和历史经验，通过典型调查研究，全面展示中国特色社会主义取得的成就</w:t>
      </w:r>
    </w:p>
    <w:p>
      <w:pPr>
        <w:pStyle w:val="16"/>
        <w:numPr>
          <w:ilvl w:val="0"/>
          <w:numId w:val="10"/>
        </w:numPr>
        <w:tabs>
          <w:tab w:val="left" w:pos="1074"/>
        </w:tabs>
        <w:spacing w:line="576" w:lineRule="exact"/>
        <w:ind w:firstLine="640"/>
        <w:jc w:val="both"/>
      </w:pPr>
      <w:bookmarkStart w:id="72" w:name="bookmark75"/>
      <w:bookmarkEnd w:id="72"/>
      <w:r>
        <w:rPr>
          <w:color w:val="000000"/>
        </w:rPr>
        <w:t>全面打赢脱贫攻坚战、全面建成小康社会的重大意义的调查研究和理论探索</w:t>
      </w:r>
    </w:p>
    <w:p>
      <w:pPr>
        <w:pStyle w:val="16"/>
        <w:numPr>
          <w:ilvl w:val="0"/>
          <w:numId w:val="10"/>
        </w:numPr>
        <w:tabs>
          <w:tab w:val="left" w:pos="1056"/>
        </w:tabs>
        <w:spacing w:line="550" w:lineRule="exact"/>
        <w:ind w:firstLine="640"/>
        <w:jc w:val="both"/>
      </w:pPr>
      <w:bookmarkStart w:id="73" w:name="bookmark76"/>
      <w:bookmarkEnd w:id="73"/>
      <w:r>
        <w:rPr>
          <w:color w:val="000000"/>
        </w:rPr>
        <w:t>推进马克思主义中国化时代化大众化典型调查研究</w:t>
      </w:r>
    </w:p>
    <w:p>
      <w:pPr>
        <w:pStyle w:val="16"/>
        <w:numPr>
          <w:ilvl w:val="0"/>
          <w:numId w:val="10"/>
        </w:numPr>
        <w:tabs>
          <w:tab w:val="left" w:pos="1066"/>
        </w:tabs>
        <w:spacing w:line="550" w:lineRule="exact"/>
        <w:ind w:firstLine="640"/>
        <w:jc w:val="both"/>
      </w:pPr>
      <w:bookmarkStart w:id="74" w:name="bookmark77"/>
      <w:bookmarkEnd w:id="74"/>
      <w:r>
        <w:rPr>
          <w:color w:val="000000"/>
        </w:rPr>
        <w:t>推动党的最新理论成果入脑入心、落地生根典型调查研究</w:t>
      </w:r>
    </w:p>
    <w:p>
      <w:pPr>
        <w:pStyle w:val="16"/>
        <w:numPr>
          <w:ilvl w:val="0"/>
          <w:numId w:val="10"/>
        </w:numPr>
        <w:tabs>
          <w:tab w:val="left" w:pos="1074"/>
        </w:tabs>
        <w:spacing w:line="533" w:lineRule="exact"/>
        <w:ind w:firstLine="640"/>
        <w:jc w:val="both"/>
      </w:pPr>
      <w:bookmarkStart w:id="75" w:name="bookmark78"/>
      <w:bookmarkEnd w:id="75"/>
      <w:r>
        <w:rPr>
          <w:color w:val="000000"/>
        </w:rPr>
        <w:t>中华优秀传统文化的创造性转化和创新性发展典型调查研究</w:t>
      </w:r>
    </w:p>
    <w:p>
      <w:pPr>
        <w:pStyle w:val="16"/>
        <w:numPr>
          <w:ilvl w:val="0"/>
          <w:numId w:val="10"/>
        </w:numPr>
        <w:tabs>
          <w:tab w:val="left" w:pos="1069"/>
        </w:tabs>
        <w:spacing w:line="552" w:lineRule="exact"/>
        <w:ind w:firstLine="640"/>
        <w:jc w:val="both"/>
      </w:pPr>
      <w:bookmarkStart w:id="76" w:name="bookmark79"/>
      <w:bookmarkEnd w:id="76"/>
      <w:r>
        <w:rPr>
          <w:color w:val="000000"/>
        </w:rPr>
        <w:t>培育和践行社会主义核心价值观的实践和经验典型调查研究</w:t>
      </w:r>
    </w:p>
    <w:p>
      <w:pPr>
        <w:pStyle w:val="16"/>
        <w:numPr>
          <w:ilvl w:val="0"/>
          <w:numId w:val="10"/>
        </w:numPr>
        <w:tabs>
          <w:tab w:val="left" w:pos="1066"/>
        </w:tabs>
        <w:spacing w:line="547" w:lineRule="exact"/>
        <w:ind w:firstLine="640"/>
        <w:jc w:val="both"/>
      </w:pPr>
      <w:bookmarkStart w:id="77" w:name="bookmark80"/>
      <w:bookmarkEnd w:id="77"/>
      <w:r>
        <w:rPr>
          <w:color w:val="000000"/>
        </w:rPr>
        <w:t>精神文明和物质文明协调发展典型调查研究</w:t>
      </w:r>
    </w:p>
    <w:p>
      <w:pPr>
        <w:pStyle w:val="16"/>
        <w:numPr>
          <w:ilvl w:val="0"/>
          <w:numId w:val="10"/>
        </w:numPr>
        <w:tabs>
          <w:tab w:val="left" w:pos="1045"/>
        </w:tabs>
        <w:spacing w:line="547" w:lineRule="exact"/>
        <w:ind w:firstLine="640"/>
        <w:jc w:val="both"/>
      </w:pPr>
      <w:bookmarkStart w:id="78" w:name="bookmark81"/>
      <w:bookmarkEnd w:id="78"/>
      <w:r>
        <w:rPr>
          <w:color w:val="000000"/>
        </w:rPr>
        <w:t>坚定共产主义远大理想和中国特色社会主义共同理想典型调查研究</w:t>
      </w:r>
    </w:p>
    <w:p>
      <w:pPr>
        <w:pStyle w:val="16"/>
        <w:numPr>
          <w:ilvl w:val="0"/>
          <w:numId w:val="10"/>
        </w:numPr>
        <w:tabs>
          <w:tab w:val="left" w:pos="1066"/>
        </w:tabs>
        <w:spacing w:line="547" w:lineRule="exact"/>
        <w:ind w:firstLine="640"/>
        <w:jc w:val="both"/>
      </w:pPr>
      <w:bookmarkStart w:id="79" w:name="bookmark82"/>
      <w:bookmarkEnd w:id="79"/>
      <w:r>
        <w:rPr>
          <w:color w:val="000000"/>
        </w:rPr>
        <w:t>新的时代条件下促进人的全面发展典型调查研究</w:t>
      </w:r>
    </w:p>
    <w:p>
      <w:pPr>
        <w:pStyle w:val="16"/>
        <w:numPr>
          <w:ilvl w:val="0"/>
          <w:numId w:val="10"/>
        </w:numPr>
        <w:tabs>
          <w:tab w:val="left" w:pos="1256"/>
        </w:tabs>
        <w:spacing w:line="547" w:lineRule="exact"/>
        <w:ind w:firstLine="640"/>
        <w:jc w:val="both"/>
      </w:pPr>
      <w:bookmarkStart w:id="80" w:name="bookmark83"/>
      <w:bookmarkEnd w:id="80"/>
      <w:r>
        <w:rPr>
          <w:color w:val="000000"/>
        </w:rPr>
        <w:t>构建中国特色哲学学科体系、学术体系、话语体系调查研究</w:t>
      </w:r>
    </w:p>
    <w:p>
      <w:pPr>
        <w:pStyle w:val="16"/>
        <w:numPr>
          <w:ilvl w:val="0"/>
          <w:numId w:val="10"/>
        </w:numPr>
        <w:tabs>
          <w:tab w:val="left" w:pos="1280"/>
        </w:tabs>
        <w:spacing w:line="581" w:lineRule="exact"/>
        <w:ind w:firstLine="640"/>
        <w:jc w:val="both"/>
      </w:pPr>
      <w:bookmarkStart w:id="81" w:name="bookmark84"/>
      <w:bookmarkEnd w:id="81"/>
      <w:r>
        <w:rPr>
          <w:color w:val="000000"/>
        </w:rPr>
        <w:t>国家治理的中国经验、中国模式和中国理论典型调查研究</w:t>
      </w:r>
    </w:p>
    <w:p>
      <w:pPr>
        <w:pStyle w:val="16"/>
        <w:numPr>
          <w:ilvl w:val="0"/>
          <w:numId w:val="10"/>
        </w:numPr>
        <w:tabs>
          <w:tab w:val="left" w:pos="1282"/>
        </w:tabs>
        <w:spacing w:line="550" w:lineRule="exact"/>
        <w:ind w:firstLine="640"/>
      </w:pPr>
      <w:bookmarkStart w:id="82" w:name="bookmark85"/>
      <w:bookmarkEnd w:id="82"/>
      <w:r>
        <w:rPr>
          <w:color w:val="000000"/>
        </w:rPr>
        <w:t>主流媒体讲好中国故事、传播中国声音典型调查研究</w:t>
      </w:r>
    </w:p>
    <w:p>
      <w:pPr>
        <w:pStyle w:val="16"/>
        <w:spacing w:after="560" w:line="240" w:lineRule="auto"/>
        <w:ind w:firstLine="0"/>
        <w:jc w:val="center"/>
        <w:rPr>
          <w:color w:val="000000"/>
          <w:sz w:val="30"/>
          <w:szCs w:val="30"/>
        </w:rPr>
      </w:pPr>
    </w:p>
    <w:p>
      <w:pPr>
        <w:pStyle w:val="16"/>
        <w:spacing w:after="560" w:line="240" w:lineRule="auto"/>
        <w:ind w:firstLine="0"/>
        <w:jc w:val="center"/>
        <w:rPr>
          <w:color w:val="000000"/>
          <w:sz w:val="30"/>
          <w:szCs w:val="30"/>
        </w:rPr>
      </w:pPr>
    </w:p>
    <w:p>
      <w:pPr>
        <w:pStyle w:val="16"/>
        <w:spacing w:after="560" w:line="240" w:lineRule="auto"/>
        <w:ind w:firstLine="0"/>
        <w:jc w:val="center"/>
        <w:rPr>
          <w:color w:val="000000"/>
          <w:sz w:val="30"/>
          <w:szCs w:val="30"/>
        </w:rPr>
      </w:pPr>
    </w:p>
    <w:p>
      <w:pPr>
        <w:pStyle w:val="16"/>
        <w:spacing w:after="560" w:line="240" w:lineRule="auto"/>
        <w:ind w:firstLine="0"/>
        <w:jc w:val="center"/>
        <w:rPr>
          <w:sz w:val="30"/>
          <w:szCs w:val="30"/>
        </w:rPr>
      </w:pPr>
      <w:r>
        <w:rPr>
          <w:color w:val="000000"/>
          <w:sz w:val="30"/>
          <w:szCs w:val="30"/>
        </w:rPr>
        <w:t>经济类</w:t>
      </w:r>
    </w:p>
    <w:p>
      <w:pPr>
        <w:pStyle w:val="16"/>
        <w:numPr>
          <w:ilvl w:val="0"/>
          <w:numId w:val="11"/>
        </w:numPr>
        <w:tabs>
          <w:tab w:val="left" w:pos="1075"/>
        </w:tabs>
        <w:spacing w:line="557" w:lineRule="exact"/>
        <w:ind w:firstLine="640"/>
      </w:pPr>
      <w:bookmarkStart w:id="83" w:name="bookmark86"/>
      <w:bookmarkEnd w:id="83"/>
      <w:r>
        <w:rPr>
          <w:color w:val="000000"/>
        </w:rPr>
        <w:t>构建新发展格局典型与经验调查研究</w:t>
      </w:r>
    </w:p>
    <w:p>
      <w:pPr>
        <w:pStyle w:val="16"/>
        <w:numPr>
          <w:ilvl w:val="0"/>
          <w:numId w:val="11"/>
        </w:numPr>
        <w:tabs>
          <w:tab w:val="left" w:pos="1075"/>
        </w:tabs>
        <w:spacing w:line="557" w:lineRule="exact"/>
        <w:ind w:firstLine="640"/>
      </w:pPr>
      <w:bookmarkStart w:id="84" w:name="bookmark87"/>
      <w:bookmarkEnd w:id="84"/>
      <w:r>
        <w:rPr>
          <w:color w:val="000000"/>
        </w:rPr>
        <w:t>推进五大发展理念成功案例调查研究</w:t>
      </w:r>
    </w:p>
    <w:p>
      <w:pPr>
        <w:pStyle w:val="16"/>
        <w:numPr>
          <w:ilvl w:val="0"/>
          <w:numId w:val="11"/>
        </w:numPr>
        <w:tabs>
          <w:tab w:val="left" w:pos="1056"/>
        </w:tabs>
        <w:spacing w:line="557" w:lineRule="exact"/>
        <w:ind w:firstLine="640"/>
      </w:pPr>
      <w:bookmarkStart w:id="85" w:name="bookmark88"/>
      <w:bookmarkEnd w:id="85"/>
      <w:r>
        <w:rPr>
          <w:color w:val="000000"/>
        </w:rPr>
        <w:t>推动供给侧结构性改革的典型调查</w:t>
      </w:r>
    </w:p>
    <w:p>
      <w:pPr>
        <w:pStyle w:val="16"/>
        <w:numPr>
          <w:ilvl w:val="0"/>
          <w:numId w:val="11"/>
        </w:numPr>
        <w:tabs>
          <w:tab w:val="left" w:pos="1066"/>
        </w:tabs>
        <w:spacing w:line="557" w:lineRule="exact"/>
        <w:ind w:firstLine="640"/>
      </w:pPr>
      <w:bookmarkStart w:id="86" w:name="bookmark89"/>
      <w:bookmarkEnd w:id="86"/>
      <w:r>
        <w:rPr>
          <w:color w:val="000000"/>
        </w:rPr>
        <w:t>提升产业链供应链现代化水平典型调查</w:t>
      </w:r>
    </w:p>
    <w:p>
      <w:pPr>
        <w:pStyle w:val="16"/>
        <w:numPr>
          <w:ilvl w:val="0"/>
          <w:numId w:val="11"/>
        </w:numPr>
        <w:tabs>
          <w:tab w:val="left" w:pos="1066"/>
        </w:tabs>
        <w:spacing w:line="557" w:lineRule="exact"/>
        <w:ind w:firstLine="640"/>
      </w:pPr>
      <w:bookmarkStart w:id="87" w:name="bookmark90"/>
      <w:bookmarkEnd w:id="87"/>
      <w:r>
        <w:rPr>
          <w:color w:val="000000"/>
        </w:rPr>
        <w:t>智慧城市建设多种模式的典型调查</w:t>
      </w:r>
    </w:p>
    <w:p>
      <w:pPr>
        <w:pStyle w:val="16"/>
        <w:numPr>
          <w:ilvl w:val="0"/>
          <w:numId w:val="11"/>
        </w:numPr>
        <w:tabs>
          <w:tab w:val="left" w:pos="1066"/>
        </w:tabs>
        <w:spacing w:line="557" w:lineRule="exact"/>
        <w:ind w:firstLine="640"/>
      </w:pPr>
      <w:bookmarkStart w:id="88" w:name="bookmark91"/>
      <w:bookmarkEnd w:id="88"/>
      <w:r>
        <w:rPr>
          <w:color w:val="000000"/>
        </w:rPr>
        <w:t>农村社会保障与公共事务治理典型与经验调查研究</w:t>
      </w:r>
    </w:p>
    <w:p>
      <w:pPr>
        <w:pStyle w:val="16"/>
        <w:numPr>
          <w:ilvl w:val="0"/>
          <w:numId w:val="11"/>
        </w:numPr>
        <w:tabs>
          <w:tab w:val="left" w:pos="1066"/>
        </w:tabs>
        <w:spacing w:line="557" w:lineRule="exact"/>
        <w:ind w:firstLine="640"/>
      </w:pPr>
      <w:bookmarkStart w:id="89" w:name="bookmark92"/>
      <w:bookmarkEnd w:id="89"/>
      <w:r>
        <w:rPr>
          <w:color w:val="000000"/>
        </w:rPr>
        <w:t>农民工市民化和返乡创业的调查研究</w:t>
      </w:r>
    </w:p>
    <w:p>
      <w:pPr>
        <w:pStyle w:val="16"/>
        <w:numPr>
          <w:ilvl w:val="0"/>
          <w:numId w:val="11"/>
        </w:numPr>
        <w:tabs>
          <w:tab w:val="left" w:pos="1066"/>
        </w:tabs>
        <w:spacing w:line="557" w:lineRule="exact"/>
        <w:ind w:firstLine="640"/>
      </w:pPr>
      <w:bookmarkStart w:id="90" w:name="bookmark93"/>
      <w:bookmarkEnd w:id="90"/>
      <w:r>
        <w:rPr>
          <w:color w:val="000000"/>
        </w:rPr>
        <w:t>扩大国内需求，刺激消费需求的实践和经验调查研究</w:t>
      </w:r>
    </w:p>
    <w:p>
      <w:pPr>
        <w:pStyle w:val="16"/>
        <w:numPr>
          <w:ilvl w:val="0"/>
          <w:numId w:val="11"/>
        </w:numPr>
        <w:tabs>
          <w:tab w:val="left" w:pos="1066"/>
        </w:tabs>
        <w:spacing w:line="557" w:lineRule="exact"/>
        <w:ind w:firstLine="640"/>
      </w:pPr>
      <w:bookmarkStart w:id="91" w:name="bookmark94"/>
      <w:bookmarkEnd w:id="91"/>
      <w:r>
        <w:rPr>
          <w:color w:val="000000"/>
        </w:rPr>
        <w:t>发挥区位优势、推动老少边贫地区发展的调查研究</w:t>
      </w:r>
    </w:p>
    <w:p>
      <w:pPr>
        <w:pStyle w:val="16"/>
        <w:numPr>
          <w:ilvl w:val="0"/>
          <w:numId w:val="11"/>
        </w:numPr>
        <w:tabs>
          <w:tab w:val="left" w:pos="1229"/>
        </w:tabs>
        <w:spacing w:line="557" w:lineRule="exact"/>
        <w:ind w:firstLine="640"/>
      </w:pPr>
      <w:bookmarkStart w:id="92" w:name="bookmark95"/>
      <w:bookmarkEnd w:id="92"/>
      <w:r>
        <w:rPr>
          <w:color w:val="000000"/>
        </w:rPr>
        <w:t>互联网推动工业企业技术创新的调查研究</w:t>
      </w:r>
    </w:p>
    <w:p>
      <w:pPr>
        <w:pStyle w:val="16"/>
        <w:numPr>
          <w:ilvl w:val="0"/>
          <w:numId w:val="11"/>
        </w:numPr>
        <w:tabs>
          <w:tab w:val="left" w:pos="1282"/>
        </w:tabs>
        <w:spacing w:line="557" w:lineRule="exact"/>
        <w:ind w:firstLine="640"/>
      </w:pPr>
      <w:bookmarkStart w:id="93" w:name="bookmark96"/>
      <w:bookmarkEnd w:id="93"/>
      <w:r>
        <w:rPr>
          <w:color w:val="000000"/>
        </w:rPr>
        <w:t>互联网金融风险典型调查研究</w:t>
      </w:r>
    </w:p>
    <w:p>
      <w:pPr>
        <w:pStyle w:val="16"/>
        <w:numPr>
          <w:ilvl w:val="0"/>
          <w:numId w:val="11"/>
        </w:numPr>
        <w:tabs>
          <w:tab w:val="left" w:pos="1280"/>
        </w:tabs>
        <w:spacing w:line="557" w:lineRule="exact"/>
        <w:ind w:firstLine="640"/>
      </w:pPr>
      <w:bookmarkStart w:id="94" w:name="bookmark97"/>
      <w:bookmarkEnd w:id="94"/>
      <w:r>
        <w:rPr>
          <w:color w:val="000000"/>
          <w:lang w:val="zh-CN" w:eastAsia="zh-CN" w:bidi="zh-CN"/>
        </w:rPr>
        <w:t>“一带</w:t>
      </w:r>
      <w:r>
        <w:rPr>
          <w:color w:val="000000"/>
        </w:rPr>
        <w:t>一路”战略与我国开放型经济新体制建设的理论与实践</w:t>
      </w:r>
    </w:p>
    <w:p>
      <w:pPr>
        <w:pStyle w:val="16"/>
        <w:numPr>
          <w:ilvl w:val="0"/>
          <w:numId w:val="11"/>
        </w:numPr>
        <w:tabs>
          <w:tab w:val="left" w:pos="1238"/>
        </w:tabs>
        <w:spacing w:line="557" w:lineRule="exact"/>
        <w:ind w:firstLine="640"/>
      </w:pPr>
      <w:bookmarkStart w:id="95" w:name="bookmark98"/>
      <w:bookmarkEnd w:id="95"/>
      <w:r>
        <w:rPr>
          <w:color w:val="000000"/>
        </w:rPr>
        <w:t>我国物联网服务业的崛起、发展与创新调查研究</w:t>
      </w:r>
    </w:p>
    <w:p>
      <w:pPr>
        <w:pStyle w:val="16"/>
        <w:numPr>
          <w:ilvl w:val="0"/>
          <w:numId w:val="11"/>
        </w:numPr>
        <w:tabs>
          <w:tab w:val="left" w:pos="1248"/>
        </w:tabs>
        <w:spacing w:line="557" w:lineRule="exact"/>
        <w:ind w:firstLine="640"/>
      </w:pPr>
      <w:bookmarkStart w:id="96" w:name="bookmark99"/>
      <w:bookmarkEnd w:id="96"/>
      <w:r>
        <w:rPr>
          <w:color w:val="000000"/>
        </w:rPr>
        <w:t>数字经济与实体经济深度融合典型案例调查</w:t>
      </w:r>
    </w:p>
    <w:p>
      <w:pPr>
        <w:pStyle w:val="16"/>
        <w:numPr>
          <w:ilvl w:val="0"/>
          <w:numId w:val="11"/>
        </w:numPr>
        <w:tabs>
          <w:tab w:val="left" w:pos="1270"/>
        </w:tabs>
        <w:spacing w:line="581" w:lineRule="exact"/>
        <w:ind w:firstLine="640"/>
      </w:pPr>
      <w:bookmarkStart w:id="97" w:name="bookmark100"/>
      <w:bookmarkEnd w:id="97"/>
      <w:r>
        <w:rPr>
          <w:color w:val="000000"/>
        </w:rPr>
        <w:t>构建以企业为主体、市场为导向、产学研相结合的技术创新体系实践和经验的调查研究</w:t>
      </w:r>
    </w:p>
    <w:p>
      <w:pPr>
        <w:pStyle w:val="16"/>
        <w:numPr>
          <w:ilvl w:val="0"/>
          <w:numId w:val="11"/>
        </w:numPr>
        <w:tabs>
          <w:tab w:val="left" w:pos="1248"/>
        </w:tabs>
        <w:spacing w:line="557" w:lineRule="exact"/>
        <w:ind w:firstLine="640"/>
      </w:pPr>
      <w:bookmarkStart w:id="98" w:name="bookmark101"/>
      <w:bookmarkEnd w:id="98"/>
      <w:r>
        <w:rPr>
          <w:color w:val="000000"/>
        </w:rPr>
        <w:t>各地推动</w:t>
      </w:r>
      <w:r>
        <w:rPr>
          <w:color w:val="000000"/>
          <w:lang w:val="zh-CN" w:eastAsia="zh-CN" w:bidi="zh-CN"/>
        </w:rPr>
        <w:t>“双</w:t>
      </w:r>
      <w:r>
        <w:rPr>
          <w:color w:val="000000"/>
        </w:rPr>
        <w:t>创”、提振经济、扩大就业的典型调查</w:t>
      </w:r>
    </w:p>
    <w:p>
      <w:pPr>
        <w:pStyle w:val="16"/>
        <w:numPr>
          <w:ilvl w:val="0"/>
          <w:numId w:val="11"/>
        </w:numPr>
        <w:tabs>
          <w:tab w:val="left" w:pos="1248"/>
        </w:tabs>
        <w:spacing w:line="557" w:lineRule="exact"/>
        <w:ind w:firstLine="640"/>
      </w:pPr>
      <w:bookmarkStart w:id="99" w:name="bookmark102"/>
      <w:bookmarkEnd w:id="99"/>
      <w:r>
        <w:rPr>
          <w:color w:val="000000"/>
        </w:rPr>
        <w:t>我国现代服务业发展路径开拓和模式创新的典型调查</w:t>
      </w:r>
    </w:p>
    <w:p>
      <w:pPr>
        <w:pStyle w:val="16"/>
        <w:numPr>
          <w:ilvl w:val="0"/>
          <w:numId w:val="11"/>
        </w:numPr>
        <w:tabs>
          <w:tab w:val="left" w:pos="1248"/>
        </w:tabs>
        <w:spacing w:line="557" w:lineRule="exact"/>
        <w:ind w:firstLine="640"/>
        <w:sectPr>
          <w:pgSz w:w="11900" w:h="16840"/>
          <w:pgMar w:top="2238" w:right="1496" w:bottom="2259" w:left="1510" w:header="0" w:footer="3" w:gutter="0"/>
          <w:cols w:space="720" w:num="1"/>
          <w:docGrid w:linePitch="360" w:charSpace="0"/>
        </w:sectPr>
      </w:pPr>
      <w:bookmarkStart w:id="100" w:name="bookmark103"/>
      <w:bookmarkEnd w:id="100"/>
      <w:r>
        <w:rPr>
          <w:color w:val="000000"/>
        </w:rPr>
        <w:t>活跃和完善中国式劳动力和人才市场调查研究</w:t>
      </w:r>
    </w:p>
    <w:p>
      <w:pPr>
        <w:pStyle w:val="15"/>
        <w:numPr>
          <w:ilvl w:val="0"/>
          <w:numId w:val="12"/>
        </w:numPr>
        <w:tabs>
          <w:tab w:val="left" w:pos="1229"/>
        </w:tabs>
        <w:spacing w:after="180" w:line="240" w:lineRule="auto"/>
      </w:pPr>
      <w:bookmarkStart w:id="101" w:name="bookmark104"/>
      <w:bookmarkEnd w:id="101"/>
      <w:r>
        <w:rPr>
          <w:color w:val="000000"/>
        </w:rPr>
        <w:t>普惠金融发展案例的典型调查</w:t>
      </w:r>
    </w:p>
    <w:p>
      <w:pPr>
        <w:pStyle w:val="15"/>
        <w:numPr>
          <w:ilvl w:val="0"/>
          <w:numId w:val="12"/>
        </w:numPr>
        <w:tabs>
          <w:tab w:val="left" w:pos="1229"/>
        </w:tabs>
        <w:spacing w:after="180" w:line="240" w:lineRule="auto"/>
      </w:pPr>
      <w:bookmarkStart w:id="102" w:name="bookmark105"/>
      <w:bookmarkEnd w:id="102"/>
      <w:r>
        <w:rPr>
          <w:color w:val="000000"/>
        </w:rPr>
        <w:t>制造业转型升级与创新驱动问题调查研究</w:t>
      </w:r>
    </w:p>
    <w:p>
      <w:pPr>
        <w:pStyle w:val="15"/>
        <w:numPr>
          <w:ilvl w:val="0"/>
          <w:numId w:val="12"/>
        </w:numPr>
        <w:tabs>
          <w:tab w:val="left" w:pos="1258"/>
        </w:tabs>
        <w:spacing w:after="180" w:line="240" w:lineRule="auto"/>
      </w:pPr>
      <w:bookmarkStart w:id="103" w:name="bookmark106"/>
      <w:bookmarkEnd w:id="103"/>
      <w:r>
        <w:rPr>
          <w:color w:val="000000"/>
        </w:rPr>
        <w:t>深化国有企业改革和完善国有资产管理的典型调查</w:t>
      </w:r>
    </w:p>
    <w:p>
      <w:pPr>
        <w:pStyle w:val="15"/>
        <w:numPr>
          <w:ilvl w:val="0"/>
          <w:numId w:val="12"/>
        </w:numPr>
        <w:tabs>
          <w:tab w:val="left" w:pos="1258"/>
        </w:tabs>
        <w:spacing w:after="180" w:line="240" w:lineRule="auto"/>
      </w:pPr>
      <w:bookmarkStart w:id="104" w:name="bookmark107"/>
      <w:bookmarkEnd w:id="104"/>
      <w:r>
        <w:rPr>
          <w:color w:val="000000"/>
        </w:rPr>
        <w:t>提升企业技术创新能力典型调查</w:t>
      </w:r>
    </w:p>
    <w:p>
      <w:pPr>
        <w:pStyle w:val="15"/>
        <w:numPr>
          <w:ilvl w:val="0"/>
          <w:numId w:val="12"/>
        </w:numPr>
        <w:tabs>
          <w:tab w:val="left" w:pos="1210"/>
        </w:tabs>
        <w:spacing w:after="180" w:line="240" w:lineRule="auto"/>
      </w:pPr>
      <w:bookmarkStart w:id="105" w:name="bookmark108"/>
      <w:bookmarkEnd w:id="105"/>
      <w:r>
        <w:rPr>
          <w:color w:val="000000"/>
        </w:rPr>
        <w:t>新型城镇化与乡村振兴战略的典型调查</w:t>
      </w:r>
    </w:p>
    <w:p>
      <w:pPr>
        <w:pStyle w:val="15"/>
        <w:numPr>
          <w:ilvl w:val="0"/>
          <w:numId w:val="12"/>
        </w:numPr>
        <w:tabs>
          <w:tab w:val="left" w:pos="1224"/>
        </w:tabs>
        <w:spacing w:after="180" w:line="240" w:lineRule="auto"/>
      </w:pPr>
      <w:bookmarkStart w:id="106" w:name="bookmark109"/>
      <w:bookmarkEnd w:id="106"/>
      <w:r>
        <w:rPr>
          <w:color w:val="000000"/>
        </w:rPr>
        <w:t>各地生态环境产业发展与创新调查分析</w:t>
      </w:r>
    </w:p>
    <w:p>
      <w:pPr>
        <w:pStyle w:val="15"/>
        <w:numPr>
          <w:ilvl w:val="0"/>
          <w:numId w:val="12"/>
        </w:numPr>
        <w:tabs>
          <w:tab w:val="left" w:pos="1224"/>
        </w:tabs>
        <w:spacing w:after="180" w:line="240" w:lineRule="auto"/>
      </w:pPr>
      <w:bookmarkStart w:id="107" w:name="bookmark110"/>
      <w:bookmarkEnd w:id="107"/>
      <w:r>
        <w:rPr>
          <w:color w:val="000000"/>
        </w:rPr>
        <w:t>高质量发展（区域、产业、企业）路径调研和分析</w:t>
      </w:r>
    </w:p>
    <w:p>
      <w:pPr>
        <w:pStyle w:val="15"/>
        <w:numPr>
          <w:ilvl w:val="0"/>
          <w:numId w:val="12"/>
        </w:numPr>
        <w:tabs>
          <w:tab w:val="left" w:pos="1224"/>
        </w:tabs>
        <w:spacing w:after="180" w:line="240" w:lineRule="auto"/>
      </w:pPr>
      <w:bookmarkStart w:id="108" w:name="bookmark111"/>
      <w:bookmarkEnd w:id="108"/>
      <w:r>
        <w:rPr>
          <w:color w:val="000000"/>
        </w:rPr>
        <w:t>激发人才创新活力典型调查研究</w:t>
      </w:r>
    </w:p>
    <w:p>
      <w:pPr>
        <w:pStyle w:val="15"/>
        <w:numPr>
          <w:ilvl w:val="0"/>
          <w:numId w:val="12"/>
        </w:numPr>
        <w:tabs>
          <w:tab w:val="left" w:pos="1224"/>
        </w:tabs>
        <w:spacing w:after="180" w:line="240" w:lineRule="auto"/>
      </w:pPr>
      <w:bookmarkStart w:id="109" w:name="bookmark112"/>
      <w:bookmarkEnd w:id="109"/>
      <w:r>
        <w:rPr>
          <w:color w:val="000000"/>
        </w:rPr>
        <w:t>简政减税降费典型调查研究</w:t>
      </w:r>
    </w:p>
    <w:p>
      <w:pPr>
        <w:pStyle w:val="15"/>
        <w:numPr>
          <w:ilvl w:val="0"/>
          <w:numId w:val="12"/>
        </w:numPr>
        <w:tabs>
          <w:tab w:val="left" w:pos="1224"/>
        </w:tabs>
        <w:spacing w:after="180" w:line="240" w:lineRule="auto"/>
        <w:sectPr>
          <w:footerReference r:id="rId9" w:type="default"/>
          <w:footerReference r:id="rId10" w:type="even"/>
          <w:type w:val="continuous"/>
          <w:pgSz w:w="11900" w:h="16840"/>
          <w:pgMar w:top="2238" w:right="1496" w:bottom="2259" w:left="1510" w:header="0" w:footer="3" w:gutter="0"/>
          <w:cols w:space="720" w:num="1"/>
          <w:docGrid w:linePitch="360" w:charSpace="0"/>
        </w:sectPr>
      </w:pPr>
      <w:bookmarkStart w:id="110" w:name="bookmark113"/>
      <w:bookmarkEnd w:id="110"/>
      <w:r>
        <w:rPr>
          <w:color w:val="000000"/>
        </w:rPr>
        <w:t>营商环境改善调研和分析</w:t>
      </w:r>
    </w:p>
    <w:p>
      <w:pPr>
        <w:pStyle w:val="15"/>
        <w:spacing w:after="560" w:line="240" w:lineRule="auto"/>
        <w:ind w:firstLine="0"/>
        <w:jc w:val="center"/>
        <w:rPr>
          <w:sz w:val="30"/>
          <w:szCs w:val="30"/>
        </w:rPr>
      </w:pPr>
      <w:r>
        <w:rPr>
          <w:color w:val="000000"/>
          <w:sz w:val="30"/>
          <w:szCs w:val="30"/>
        </w:rPr>
        <w:t>社会学类</w:t>
      </w:r>
    </w:p>
    <w:p>
      <w:pPr>
        <w:pStyle w:val="15"/>
        <w:numPr>
          <w:ilvl w:val="0"/>
          <w:numId w:val="13"/>
        </w:numPr>
        <w:tabs>
          <w:tab w:val="left" w:pos="1075"/>
        </w:tabs>
        <w:spacing w:line="538" w:lineRule="exact"/>
      </w:pPr>
      <w:bookmarkStart w:id="111" w:name="bookmark114"/>
      <w:bookmarkEnd w:id="111"/>
      <w:r>
        <w:rPr>
          <w:color w:val="000000"/>
        </w:rPr>
        <w:t>各地全面建成小康社会的典型调查研究</w:t>
      </w:r>
    </w:p>
    <w:p>
      <w:pPr>
        <w:pStyle w:val="15"/>
        <w:numPr>
          <w:ilvl w:val="0"/>
          <w:numId w:val="13"/>
        </w:numPr>
        <w:tabs>
          <w:tab w:val="left" w:pos="1075"/>
        </w:tabs>
        <w:spacing w:line="538" w:lineRule="exact"/>
      </w:pPr>
      <w:bookmarkStart w:id="112" w:name="bookmark115"/>
      <w:bookmarkEnd w:id="112"/>
      <w:r>
        <w:rPr>
          <w:color w:val="000000"/>
        </w:rPr>
        <w:t>各地加强社会建设的典型调查研究</w:t>
      </w:r>
    </w:p>
    <w:p>
      <w:pPr>
        <w:pStyle w:val="15"/>
        <w:numPr>
          <w:ilvl w:val="0"/>
          <w:numId w:val="13"/>
        </w:numPr>
        <w:tabs>
          <w:tab w:val="left" w:pos="1056"/>
        </w:tabs>
        <w:spacing w:line="538" w:lineRule="exact"/>
      </w:pPr>
      <w:bookmarkStart w:id="113" w:name="bookmark116"/>
      <w:bookmarkEnd w:id="113"/>
      <w:r>
        <w:rPr>
          <w:color w:val="000000"/>
        </w:rPr>
        <w:t>各地创新社会治理防范社会风险的典型调查研究</w:t>
      </w:r>
    </w:p>
    <w:p>
      <w:pPr>
        <w:pStyle w:val="15"/>
        <w:numPr>
          <w:ilvl w:val="0"/>
          <w:numId w:val="13"/>
        </w:numPr>
        <w:tabs>
          <w:tab w:val="left" w:pos="1066"/>
        </w:tabs>
        <w:spacing w:line="538" w:lineRule="exact"/>
      </w:pPr>
      <w:bookmarkStart w:id="114" w:name="bookmark117"/>
      <w:bookmarkEnd w:id="114"/>
      <w:r>
        <w:rPr>
          <w:color w:val="000000"/>
        </w:rPr>
        <w:t>各地加强和完善社区建设和服务的实践和经验调查研究</w:t>
      </w:r>
    </w:p>
    <w:p>
      <w:pPr>
        <w:pStyle w:val="15"/>
        <w:numPr>
          <w:ilvl w:val="0"/>
          <w:numId w:val="13"/>
        </w:numPr>
        <w:tabs>
          <w:tab w:val="left" w:pos="1066"/>
        </w:tabs>
        <w:spacing w:line="538" w:lineRule="exact"/>
      </w:pPr>
      <w:bookmarkStart w:id="115" w:name="bookmark118"/>
      <w:bookmarkEnd w:id="115"/>
      <w:r>
        <w:rPr>
          <w:color w:val="000000"/>
        </w:rPr>
        <w:t>各地市域社会治理现代化经验研究</w:t>
      </w:r>
    </w:p>
    <w:p>
      <w:pPr>
        <w:pStyle w:val="15"/>
        <w:numPr>
          <w:ilvl w:val="0"/>
          <w:numId w:val="13"/>
        </w:numPr>
        <w:tabs>
          <w:tab w:val="left" w:pos="1066"/>
        </w:tabs>
        <w:spacing w:line="538" w:lineRule="exact"/>
      </w:pPr>
      <w:bookmarkStart w:id="116" w:name="bookmark119"/>
      <w:bookmarkEnd w:id="116"/>
      <w:r>
        <w:rPr>
          <w:color w:val="000000"/>
        </w:rPr>
        <w:t>缩小收入差距的体制机制研究</w:t>
      </w:r>
    </w:p>
    <w:p>
      <w:pPr>
        <w:pStyle w:val="15"/>
        <w:numPr>
          <w:ilvl w:val="0"/>
          <w:numId w:val="13"/>
        </w:numPr>
        <w:tabs>
          <w:tab w:val="left" w:pos="1066"/>
        </w:tabs>
        <w:spacing w:line="538" w:lineRule="exact"/>
      </w:pPr>
      <w:bookmarkStart w:id="117" w:name="bookmark120"/>
      <w:bookmarkEnd w:id="117"/>
      <w:r>
        <w:rPr>
          <w:color w:val="000000"/>
        </w:rPr>
        <w:t>户籍制度改革与农民工社会融入的经验调查研究</w:t>
      </w:r>
    </w:p>
    <w:p>
      <w:pPr>
        <w:pStyle w:val="15"/>
        <w:numPr>
          <w:ilvl w:val="0"/>
          <w:numId w:val="13"/>
        </w:numPr>
        <w:tabs>
          <w:tab w:val="left" w:pos="1066"/>
        </w:tabs>
        <w:spacing w:line="538" w:lineRule="exact"/>
      </w:pPr>
      <w:bookmarkStart w:id="118" w:name="bookmark121"/>
      <w:bookmarkEnd w:id="118"/>
      <w:r>
        <w:rPr>
          <w:color w:val="000000"/>
        </w:rPr>
        <w:t>社会诚信、商务诚信、政务诚信建设实践和经验调查研究</w:t>
      </w:r>
    </w:p>
    <w:p>
      <w:pPr>
        <w:pStyle w:val="15"/>
        <w:numPr>
          <w:ilvl w:val="0"/>
          <w:numId w:val="13"/>
        </w:numPr>
        <w:tabs>
          <w:tab w:val="left" w:pos="1066"/>
        </w:tabs>
        <w:spacing w:line="538" w:lineRule="exact"/>
      </w:pPr>
      <w:bookmarkStart w:id="119" w:name="bookmark122"/>
      <w:bookmarkEnd w:id="119"/>
      <w:r>
        <w:rPr>
          <w:color w:val="000000"/>
        </w:rPr>
        <w:t>人工智能对劳动就业的影响研究</w:t>
      </w:r>
    </w:p>
    <w:p>
      <w:pPr>
        <w:pStyle w:val="15"/>
        <w:numPr>
          <w:ilvl w:val="0"/>
          <w:numId w:val="13"/>
        </w:numPr>
        <w:tabs>
          <w:tab w:val="left" w:pos="1229"/>
        </w:tabs>
        <w:spacing w:line="538" w:lineRule="exact"/>
      </w:pPr>
      <w:bookmarkStart w:id="120" w:name="bookmark123"/>
      <w:bookmarkEnd w:id="120"/>
      <w:r>
        <w:rPr>
          <w:color w:val="000000"/>
        </w:rPr>
        <w:t>人口结构变化对经济社会发展的影响研究</w:t>
      </w:r>
    </w:p>
    <w:p>
      <w:pPr>
        <w:pStyle w:val="15"/>
        <w:numPr>
          <w:ilvl w:val="0"/>
          <w:numId w:val="13"/>
        </w:numPr>
        <w:tabs>
          <w:tab w:val="left" w:pos="1309"/>
        </w:tabs>
        <w:spacing w:line="538" w:lineRule="exact"/>
      </w:pPr>
      <w:bookmarkStart w:id="121" w:name="bookmark124"/>
      <w:bookmarkEnd w:id="121"/>
      <w:r>
        <w:rPr>
          <w:color w:val="000000"/>
        </w:rPr>
        <w:t>各地建设社会养老服务体系和发展老年服务产业的调查研究</w:t>
      </w:r>
    </w:p>
    <w:p>
      <w:pPr>
        <w:pStyle w:val="15"/>
        <w:numPr>
          <w:ilvl w:val="0"/>
          <w:numId w:val="13"/>
        </w:numPr>
        <w:tabs>
          <w:tab w:val="left" w:pos="1282"/>
        </w:tabs>
        <w:spacing w:line="538" w:lineRule="exact"/>
      </w:pPr>
      <w:bookmarkStart w:id="122" w:name="bookmark125"/>
      <w:bookmarkEnd w:id="122"/>
      <w:r>
        <w:rPr>
          <w:color w:val="000000"/>
        </w:rPr>
        <w:t>我国社会变迁趋势研究</w:t>
      </w:r>
    </w:p>
    <w:p>
      <w:pPr>
        <w:pStyle w:val="15"/>
        <w:numPr>
          <w:ilvl w:val="0"/>
          <w:numId w:val="13"/>
        </w:numPr>
        <w:tabs>
          <w:tab w:val="left" w:pos="1282"/>
        </w:tabs>
        <w:spacing w:line="538" w:lineRule="exact"/>
      </w:pPr>
      <w:bookmarkStart w:id="123" w:name="bookmark126"/>
      <w:bookmarkEnd w:id="123"/>
      <w:r>
        <w:rPr>
          <w:color w:val="000000"/>
        </w:rPr>
        <w:t>社会工作服务活动和组织建设的调查研究</w:t>
      </w:r>
    </w:p>
    <w:p>
      <w:pPr>
        <w:pStyle w:val="15"/>
        <w:numPr>
          <w:ilvl w:val="0"/>
          <w:numId w:val="13"/>
        </w:numPr>
        <w:tabs>
          <w:tab w:val="left" w:pos="1282"/>
        </w:tabs>
        <w:spacing w:line="538" w:lineRule="exact"/>
      </w:pPr>
      <w:bookmarkStart w:id="124" w:name="bookmark127"/>
      <w:bookmarkEnd w:id="124"/>
      <w:r>
        <w:rPr>
          <w:color w:val="000000"/>
        </w:rPr>
        <w:t>我国社会救助工作体制研究</w:t>
      </w:r>
    </w:p>
    <w:p>
      <w:pPr>
        <w:pStyle w:val="15"/>
        <w:numPr>
          <w:ilvl w:val="0"/>
          <w:numId w:val="13"/>
        </w:numPr>
        <w:tabs>
          <w:tab w:val="left" w:pos="1282"/>
        </w:tabs>
        <w:spacing w:line="538" w:lineRule="exact"/>
      </w:pPr>
      <w:bookmarkStart w:id="125" w:name="bookmark128"/>
      <w:bookmarkEnd w:id="125"/>
      <w:r>
        <w:rPr>
          <w:color w:val="000000"/>
        </w:rPr>
        <w:t>畅通志愿者参与社会治理渠道体制机制研究</w:t>
      </w:r>
    </w:p>
    <w:p>
      <w:pPr>
        <w:pStyle w:val="15"/>
        <w:numPr>
          <w:ilvl w:val="0"/>
          <w:numId w:val="13"/>
        </w:numPr>
        <w:tabs>
          <w:tab w:val="left" w:pos="1282"/>
        </w:tabs>
        <w:spacing w:line="538" w:lineRule="exact"/>
      </w:pPr>
      <w:bookmarkStart w:id="126" w:name="bookmark129"/>
      <w:bookmarkEnd w:id="126"/>
      <w:r>
        <w:rPr>
          <w:color w:val="000000"/>
        </w:rPr>
        <w:t>推进基层医疗卫生机构综合改革的典型调查研究</w:t>
      </w:r>
    </w:p>
    <w:p>
      <w:pPr>
        <w:pStyle w:val="15"/>
        <w:numPr>
          <w:ilvl w:val="0"/>
          <w:numId w:val="13"/>
        </w:numPr>
        <w:tabs>
          <w:tab w:val="left" w:pos="1238"/>
        </w:tabs>
        <w:spacing w:line="538" w:lineRule="exact"/>
      </w:pPr>
      <w:bookmarkStart w:id="127" w:name="bookmark130"/>
      <w:bookmarkEnd w:id="127"/>
      <w:r>
        <w:rPr>
          <w:color w:val="000000"/>
        </w:rPr>
        <w:t>社会办医，非盈利性医疗机构的发展与改革调查研究</w:t>
      </w:r>
    </w:p>
    <w:p>
      <w:pPr>
        <w:pStyle w:val="15"/>
        <w:numPr>
          <w:ilvl w:val="0"/>
          <w:numId w:val="13"/>
        </w:numPr>
        <w:tabs>
          <w:tab w:val="left" w:pos="1243"/>
        </w:tabs>
        <w:spacing w:line="538" w:lineRule="exact"/>
      </w:pPr>
      <w:bookmarkStart w:id="128" w:name="bookmark131"/>
      <w:bookmarkEnd w:id="128"/>
      <w:r>
        <w:rPr>
          <w:color w:val="000000"/>
        </w:rPr>
        <w:t>城市务工人员社会保险改革和创新典型调查</w:t>
      </w:r>
    </w:p>
    <w:p>
      <w:pPr>
        <w:pStyle w:val="15"/>
        <w:numPr>
          <w:ilvl w:val="0"/>
          <w:numId w:val="13"/>
        </w:numPr>
        <w:tabs>
          <w:tab w:val="left" w:pos="1243"/>
        </w:tabs>
        <w:spacing w:line="538" w:lineRule="exact"/>
      </w:pPr>
      <w:bookmarkStart w:id="129" w:name="bookmark132"/>
      <w:bookmarkEnd w:id="129"/>
      <w:r>
        <w:rPr>
          <w:color w:val="000000"/>
        </w:rPr>
        <w:t>新冠肺炎疫情中的网络舆情特征研究</w:t>
      </w:r>
    </w:p>
    <w:p>
      <w:pPr>
        <w:pStyle w:val="15"/>
        <w:numPr>
          <w:ilvl w:val="0"/>
          <w:numId w:val="13"/>
        </w:numPr>
        <w:tabs>
          <w:tab w:val="left" w:pos="1205"/>
        </w:tabs>
        <w:spacing w:line="576" w:lineRule="exact"/>
      </w:pPr>
      <w:bookmarkStart w:id="130" w:name="bookmark133"/>
      <w:bookmarkEnd w:id="130"/>
      <w:r>
        <w:rPr>
          <w:color w:val="000000"/>
        </w:rPr>
        <w:t>大学生就业趋势调查研究</w:t>
      </w:r>
    </w:p>
    <w:p>
      <w:pPr>
        <w:pStyle w:val="15"/>
        <w:numPr>
          <w:ilvl w:val="0"/>
          <w:numId w:val="13"/>
        </w:numPr>
        <w:tabs>
          <w:tab w:val="left" w:pos="1258"/>
        </w:tabs>
        <w:spacing w:line="576" w:lineRule="exact"/>
      </w:pPr>
      <w:bookmarkStart w:id="131" w:name="bookmark134"/>
      <w:bookmarkEnd w:id="131"/>
      <w:r>
        <w:rPr>
          <w:color w:val="000000"/>
        </w:rPr>
        <w:t>建立积极向上社会心态的体制机制研究</w:t>
      </w:r>
    </w:p>
    <w:p>
      <w:pPr>
        <w:pStyle w:val="15"/>
        <w:numPr>
          <w:ilvl w:val="0"/>
          <w:numId w:val="13"/>
        </w:numPr>
        <w:tabs>
          <w:tab w:val="left" w:pos="1258"/>
        </w:tabs>
        <w:spacing w:line="576" w:lineRule="exact"/>
      </w:pPr>
      <w:bookmarkStart w:id="132" w:name="bookmark135"/>
      <w:bookmarkEnd w:id="132"/>
      <w:r>
        <w:rPr>
          <w:color w:val="000000"/>
        </w:rPr>
        <w:t>网络发展及其对青少年影响的调查</w:t>
      </w:r>
    </w:p>
    <w:p>
      <w:pPr>
        <w:pStyle w:val="15"/>
        <w:numPr>
          <w:ilvl w:val="0"/>
          <w:numId w:val="13"/>
        </w:numPr>
        <w:tabs>
          <w:tab w:val="left" w:pos="1256"/>
        </w:tabs>
        <w:spacing w:line="576" w:lineRule="exact"/>
      </w:pPr>
      <w:bookmarkStart w:id="133" w:name="bookmark136"/>
      <w:bookmarkEnd w:id="133"/>
      <w:r>
        <w:rPr>
          <w:color w:val="000000"/>
        </w:rPr>
        <w:t>农村土地流转、乡村振兴战略的实施与社会主义新农村建设问题研究</w:t>
      </w:r>
    </w:p>
    <w:p>
      <w:pPr>
        <w:pStyle w:val="15"/>
        <w:numPr>
          <w:ilvl w:val="0"/>
          <w:numId w:val="13"/>
        </w:numPr>
        <w:tabs>
          <w:tab w:val="left" w:pos="1258"/>
        </w:tabs>
        <w:spacing w:line="576" w:lineRule="exact"/>
      </w:pPr>
      <w:bookmarkStart w:id="134" w:name="bookmark137"/>
      <w:bookmarkEnd w:id="134"/>
      <w:r>
        <w:rPr>
          <w:color w:val="000000"/>
        </w:rPr>
        <w:t>新发展阶段的扶贫政策研究</w:t>
      </w:r>
    </w:p>
    <w:p>
      <w:pPr>
        <w:pStyle w:val="15"/>
        <w:numPr>
          <w:ilvl w:val="0"/>
          <w:numId w:val="13"/>
        </w:numPr>
        <w:tabs>
          <w:tab w:val="left" w:pos="1258"/>
        </w:tabs>
        <w:spacing w:line="576" w:lineRule="exact"/>
      </w:pPr>
      <w:bookmarkStart w:id="135" w:name="bookmark138"/>
      <w:bookmarkEnd w:id="135"/>
      <w:r>
        <w:rPr>
          <w:color w:val="000000"/>
        </w:rPr>
        <w:t>绝对贫困与相对贫困问题研究</w:t>
      </w:r>
    </w:p>
    <w:p>
      <w:pPr>
        <w:pStyle w:val="15"/>
        <w:numPr>
          <w:ilvl w:val="0"/>
          <w:numId w:val="13"/>
        </w:numPr>
        <w:tabs>
          <w:tab w:val="left" w:pos="1258"/>
        </w:tabs>
        <w:spacing w:line="576" w:lineRule="exact"/>
        <w:sectPr>
          <w:pgSz w:w="11900" w:h="16840"/>
          <w:pgMar w:top="2139" w:right="1510" w:bottom="2357" w:left="1515" w:header="0" w:footer="3" w:gutter="0"/>
          <w:cols w:space="720" w:num="1"/>
          <w:docGrid w:linePitch="360" w:charSpace="0"/>
        </w:sectPr>
      </w:pPr>
      <w:bookmarkStart w:id="136" w:name="bookmark139"/>
      <w:bookmarkEnd w:id="136"/>
      <w:r>
        <w:rPr>
          <w:color w:val="000000"/>
        </w:rPr>
        <w:t>基本实现现代化的指标体系研究</w:t>
      </w:r>
    </w:p>
    <w:p>
      <w:pPr>
        <w:pStyle w:val="15"/>
        <w:spacing w:after="640" w:line="240" w:lineRule="auto"/>
        <w:ind w:firstLine="0"/>
        <w:jc w:val="center"/>
        <w:rPr>
          <w:sz w:val="30"/>
          <w:szCs w:val="30"/>
        </w:rPr>
      </w:pPr>
      <w:r>
        <w:rPr>
          <w:color w:val="000000"/>
          <w:sz w:val="30"/>
          <w:szCs w:val="30"/>
        </w:rPr>
        <w:t>法律类</w:t>
      </w:r>
    </w:p>
    <w:p>
      <w:pPr>
        <w:pStyle w:val="15"/>
        <w:numPr>
          <w:ilvl w:val="0"/>
          <w:numId w:val="14"/>
        </w:numPr>
        <w:tabs>
          <w:tab w:val="left" w:pos="1075"/>
        </w:tabs>
        <w:spacing w:line="552" w:lineRule="exact"/>
      </w:pPr>
      <w:bookmarkStart w:id="137" w:name="bookmark140"/>
      <w:bookmarkEnd w:id="137"/>
      <w:r>
        <w:rPr>
          <w:color w:val="000000"/>
        </w:rPr>
        <w:t>全面推进依法治国必须坚持的基本原则研究</w:t>
      </w:r>
    </w:p>
    <w:p>
      <w:pPr>
        <w:pStyle w:val="15"/>
        <w:numPr>
          <w:ilvl w:val="0"/>
          <w:numId w:val="14"/>
        </w:numPr>
        <w:tabs>
          <w:tab w:val="left" w:pos="1078"/>
        </w:tabs>
        <w:spacing w:line="552" w:lineRule="exact"/>
      </w:pPr>
      <w:bookmarkStart w:id="138" w:name="bookmark141"/>
      <w:bookmarkEnd w:id="138"/>
      <w:r>
        <w:rPr>
          <w:color w:val="000000"/>
        </w:rPr>
        <w:t>党的领导、人民当家作主和依法治国有机统一的实现机制研究</w:t>
      </w:r>
    </w:p>
    <w:p>
      <w:pPr>
        <w:pStyle w:val="15"/>
        <w:numPr>
          <w:ilvl w:val="0"/>
          <w:numId w:val="14"/>
        </w:numPr>
        <w:tabs>
          <w:tab w:val="left" w:pos="1075"/>
        </w:tabs>
        <w:spacing w:line="552" w:lineRule="exact"/>
      </w:pPr>
      <w:bookmarkStart w:id="139" w:name="bookmark142"/>
      <w:bookmarkEnd w:id="139"/>
      <w:r>
        <w:rPr>
          <w:color w:val="000000"/>
        </w:rPr>
        <w:t>我国实施社会主义宪法的实践和经验研究</w:t>
      </w:r>
    </w:p>
    <w:p>
      <w:pPr>
        <w:pStyle w:val="15"/>
        <w:numPr>
          <w:ilvl w:val="0"/>
          <w:numId w:val="14"/>
        </w:numPr>
        <w:tabs>
          <w:tab w:val="left" w:pos="1075"/>
        </w:tabs>
        <w:spacing w:line="552" w:lineRule="exact"/>
      </w:pPr>
      <w:bookmarkStart w:id="140" w:name="bookmark143"/>
      <w:bookmarkEnd w:id="140"/>
      <w:r>
        <w:rPr>
          <w:color w:val="000000"/>
        </w:rPr>
        <w:t>我国社会主义市场经济法治实践相关问题调查研究</w:t>
      </w:r>
    </w:p>
    <w:p>
      <w:pPr>
        <w:pStyle w:val="15"/>
        <w:numPr>
          <w:ilvl w:val="0"/>
          <w:numId w:val="14"/>
        </w:numPr>
        <w:tabs>
          <w:tab w:val="left" w:pos="1075"/>
        </w:tabs>
        <w:spacing w:line="552" w:lineRule="exact"/>
      </w:pPr>
      <w:bookmarkStart w:id="141" w:name="bookmark144"/>
      <w:bookmarkEnd w:id="141"/>
      <w:r>
        <w:rPr>
          <w:color w:val="000000"/>
        </w:rPr>
        <w:t>民法典实施问题研究</w:t>
      </w:r>
    </w:p>
    <w:p>
      <w:pPr>
        <w:pStyle w:val="15"/>
        <w:numPr>
          <w:ilvl w:val="0"/>
          <w:numId w:val="14"/>
        </w:numPr>
        <w:tabs>
          <w:tab w:val="left" w:pos="1075"/>
        </w:tabs>
        <w:spacing w:line="552" w:lineRule="exact"/>
      </w:pPr>
      <w:bookmarkStart w:id="142" w:name="bookmark145"/>
      <w:bookmarkEnd w:id="142"/>
      <w:r>
        <w:rPr>
          <w:color w:val="000000"/>
        </w:rPr>
        <w:t>完善知识产权立法与实施机制研究</w:t>
      </w:r>
    </w:p>
    <w:p>
      <w:pPr>
        <w:pStyle w:val="15"/>
        <w:numPr>
          <w:ilvl w:val="0"/>
          <w:numId w:val="14"/>
        </w:numPr>
        <w:tabs>
          <w:tab w:val="left" w:pos="1075"/>
        </w:tabs>
        <w:spacing w:line="552" w:lineRule="exact"/>
      </w:pPr>
      <w:bookmarkStart w:id="143" w:name="bookmark146"/>
      <w:bookmarkEnd w:id="143"/>
      <w:r>
        <w:rPr>
          <w:color w:val="000000"/>
        </w:rPr>
        <w:t>新型互联网犯罪应对研究</w:t>
      </w:r>
    </w:p>
    <w:p>
      <w:pPr>
        <w:pStyle w:val="15"/>
        <w:numPr>
          <w:ilvl w:val="0"/>
          <w:numId w:val="14"/>
        </w:numPr>
        <w:tabs>
          <w:tab w:val="left" w:pos="1075"/>
        </w:tabs>
        <w:spacing w:line="552" w:lineRule="exact"/>
      </w:pPr>
      <w:bookmarkStart w:id="144" w:name="bookmark147"/>
      <w:bookmarkEnd w:id="144"/>
      <w:r>
        <w:rPr>
          <w:color w:val="000000"/>
        </w:rPr>
        <w:t>我国民事立法完善问题研究</w:t>
      </w:r>
    </w:p>
    <w:p>
      <w:pPr>
        <w:pStyle w:val="15"/>
        <w:numPr>
          <w:ilvl w:val="0"/>
          <w:numId w:val="14"/>
        </w:numPr>
        <w:tabs>
          <w:tab w:val="left" w:pos="1075"/>
        </w:tabs>
        <w:spacing w:line="552" w:lineRule="exact"/>
      </w:pPr>
      <w:bookmarkStart w:id="145" w:name="bookmark148"/>
      <w:bookmarkEnd w:id="145"/>
      <w:r>
        <w:rPr>
          <w:color w:val="000000"/>
        </w:rPr>
        <w:t>未成年人法律保护新情况新问题调查研究</w:t>
      </w:r>
    </w:p>
    <w:p>
      <w:pPr>
        <w:pStyle w:val="15"/>
        <w:numPr>
          <w:ilvl w:val="0"/>
          <w:numId w:val="14"/>
        </w:numPr>
        <w:tabs>
          <w:tab w:val="left" w:pos="1229"/>
        </w:tabs>
        <w:spacing w:line="552" w:lineRule="exact"/>
      </w:pPr>
      <w:bookmarkStart w:id="146" w:name="bookmark149"/>
      <w:bookmarkEnd w:id="146"/>
      <w:r>
        <w:rPr>
          <w:color w:val="000000"/>
        </w:rPr>
        <w:t>法律援助工作的发展和创新实践调查研究</w:t>
      </w:r>
    </w:p>
    <w:p>
      <w:pPr>
        <w:pStyle w:val="15"/>
        <w:numPr>
          <w:ilvl w:val="0"/>
          <w:numId w:val="14"/>
        </w:numPr>
        <w:tabs>
          <w:tab w:val="left" w:pos="1282"/>
        </w:tabs>
        <w:spacing w:line="552" w:lineRule="exact"/>
      </w:pPr>
      <w:bookmarkStart w:id="147" w:name="bookmark150"/>
      <w:bookmarkEnd w:id="147"/>
      <w:r>
        <w:rPr>
          <w:color w:val="000000"/>
        </w:rPr>
        <w:t>公益诉讼问题研究</w:t>
      </w:r>
    </w:p>
    <w:p>
      <w:pPr>
        <w:pStyle w:val="15"/>
        <w:numPr>
          <w:ilvl w:val="0"/>
          <w:numId w:val="14"/>
        </w:numPr>
        <w:tabs>
          <w:tab w:val="left" w:pos="1282"/>
        </w:tabs>
        <w:spacing w:line="552" w:lineRule="exact"/>
      </w:pPr>
      <w:bookmarkStart w:id="148" w:name="bookmark151"/>
      <w:bookmarkEnd w:id="148"/>
      <w:r>
        <w:rPr>
          <w:color w:val="000000"/>
        </w:rPr>
        <w:t>我国社会、文化与生态文明建设的法律法规问题调查研</w:t>
      </w:r>
    </w:p>
    <w:p>
      <w:pPr>
        <w:pStyle w:val="15"/>
        <w:numPr>
          <w:ilvl w:val="0"/>
          <w:numId w:val="14"/>
        </w:numPr>
        <w:tabs>
          <w:tab w:val="left" w:pos="1282"/>
        </w:tabs>
        <w:spacing w:line="552" w:lineRule="exact"/>
      </w:pPr>
      <w:bookmarkStart w:id="149" w:name="bookmark152"/>
      <w:bookmarkEnd w:id="149"/>
      <w:r>
        <w:rPr>
          <w:color w:val="000000"/>
        </w:rPr>
        <w:t>推进以审判为中心的诉讼制度改革典型调查研究</w:t>
      </w:r>
    </w:p>
    <w:p>
      <w:pPr>
        <w:pStyle w:val="15"/>
        <w:numPr>
          <w:ilvl w:val="0"/>
          <w:numId w:val="14"/>
        </w:numPr>
        <w:tabs>
          <w:tab w:val="left" w:pos="1248"/>
        </w:tabs>
        <w:spacing w:line="552" w:lineRule="exact"/>
      </w:pPr>
      <w:bookmarkStart w:id="150" w:name="bookmark153"/>
      <w:bookmarkEnd w:id="150"/>
      <w:r>
        <w:rPr>
          <w:color w:val="000000"/>
        </w:rPr>
        <w:t>我国网络空间法治实践调查研究</w:t>
      </w:r>
    </w:p>
    <w:p>
      <w:pPr>
        <w:pStyle w:val="15"/>
        <w:numPr>
          <w:ilvl w:val="0"/>
          <w:numId w:val="14"/>
        </w:numPr>
        <w:tabs>
          <w:tab w:val="left" w:pos="1248"/>
        </w:tabs>
        <w:spacing w:line="552" w:lineRule="exact"/>
      </w:pPr>
      <w:bookmarkStart w:id="151" w:name="bookmark154"/>
      <w:bookmarkEnd w:id="151"/>
      <w:r>
        <w:rPr>
          <w:color w:val="000000"/>
        </w:rPr>
        <w:t>《电子商务法》实施相关问题研究</w:t>
      </w:r>
    </w:p>
    <w:p>
      <w:pPr>
        <w:pStyle w:val="15"/>
        <w:numPr>
          <w:ilvl w:val="0"/>
          <w:numId w:val="14"/>
        </w:numPr>
        <w:tabs>
          <w:tab w:val="left" w:pos="1248"/>
        </w:tabs>
        <w:spacing w:line="552" w:lineRule="exact"/>
      </w:pPr>
      <w:bookmarkStart w:id="152" w:name="bookmark155"/>
      <w:bookmarkEnd w:id="152"/>
      <w:r>
        <w:rPr>
          <w:color w:val="000000"/>
        </w:rPr>
        <w:t>《网络安全法》实施相关问题研究</w:t>
      </w:r>
    </w:p>
    <w:p>
      <w:pPr>
        <w:pStyle w:val="15"/>
        <w:numPr>
          <w:ilvl w:val="0"/>
          <w:numId w:val="14"/>
        </w:numPr>
        <w:tabs>
          <w:tab w:val="left" w:pos="1248"/>
        </w:tabs>
        <w:spacing w:line="552" w:lineRule="exact"/>
      </w:pPr>
      <w:bookmarkStart w:id="153" w:name="bookmark156"/>
      <w:bookmarkEnd w:id="153"/>
      <w:r>
        <w:rPr>
          <w:color w:val="000000"/>
        </w:rPr>
        <w:t>基本法框架下的一国两制与国家统一相关法律问题研究</w:t>
      </w:r>
    </w:p>
    <w:p>
      <w:pPr>
        <w:pStyle w:val="15"/>
        <w:numPr>
          <w:ilvl w:val="0"/>
          <w:numId w:val="14"/>
        </w:numPr>
        <w:tabs>
          <w:tab w:val="left" w:pos="1248"/>
        </w:tabs>
        <w:spacing w:line="552" w:lineRule="exact"/>
      </w:pPr>
      <w:bookmarkStart w:id="154" w:name="bookmark157"/>
      <w:bookmarkEnd w:id="154"/>
      <w:r>
        <w:rPr>
          <w:color w:val="000000"/>
        </w:rPr>
        <w:t>全面从严治党与全面依法治国关系研究</w:t>
      </w:r>
    </w:p>
    <w:p>
      <w:pPr>
        <w:pStyle w:val="15"/>
        <w:numPr>
          <w:ilvl w:val="0"/>
          <w:numId w:val="14"/>
        </w:numPr>
        <w:tabs>
          <w:tab w:val="left" w:pos="1248"/>
        </w:tabs>
        <w:spacing w:line="552" w:lineRule="exact"/>
      </w:pPr>
      <w:bookmarkStart w:id="155" w:name="bookmark158"/>
      <w:bookmarkEnd w:id="155"/>
      <w:r>
        <w:rPr>
          <w:color w:val="000000"/>
        </w:rPr>
        <w:t>公共卫生突发事件中个人信息利用和保护机制研究</w:t>
      </w:r>
    </w:p>
    <w:p>
      <w:pPr>
        <w:pStyle w:val="15"/>
        <w:spacing w:after="580" w:line="240" w:lineRule="auto"/>
        <w:ind w:firstLine="0"/>
        <w:jc w:val="center"/>
        <w:rPr>
          <w:color w:val="000000"/>
          <w:sz w:val="30"/>
          <w:szCs w:val="30"/>
        </w:rPr>
      </w:pPr>
    </w:p>
    <w:p>
      <w:pPr>
        <w:pStyle w:val="15"/>
        <w:spacing w:after="580" w:line="240" w:lineRule="auto"/>
        <w:ind w:firstLine="0"/>
        <w:jc w:val="center"/>
        <w:rPr>
          <w:sz w:val="30"/>
          <w:szCs w:val="30"/>
        </w:rPr>
      </w:pPr>
      <w:r>
        <w:rPr>
          <w:color w:val="000000"/>
          <w:sz w:val="30"/>
          <w:szCs w:val="30"/>
        </w:rPr>
        <w:t>教育类</w:t>
      </w:r>
    </w:p>
    <w:p>
      <w:pPr>
        <w:pStyle w:val="15"/>
        <w:numPr>
          <w:ilvl w:val="0"/>
          <w:numId w:val="15"/>
        </w:numPr>
        <w:tabs>
          <w:tab w:val="left" w:pos="1064"/>
        </w:tabs>
        <w:spacing w:line="538" w:lineRule="exact"/>
        <w:jc w:val="both"/>
      </w:pPr>
      <w:bookmarkStart w:id="156" w:name="bookmark159"/>
      <w:bookmarkEnd w:id="156"/>
      <w:r>
        <w:rPr>
          <w:color w:val="000000"/>
        </w:rPr>
        <w:t>探索建设高质量教育体系的实践路径，开启建设教育强国、人才强国新征程</w:t>
      </w:r>
    </w:p>
    <w:p>
      <w:pPr>
        <w:pStyle w:val="15"/>
        <w:numPr>
          <w:ilvl w:val="0"/>
          <w:numId w:val="15"/>
        </w:numPr>
        <w:tabs>
          <w:tab w:val="left" w:pos="1075"/>
        </w:tabs>
        <w:spacing w:line="559" w:lineRule="exact"/>
        <w:jc w:val="both"/>
      </w:pPr>
      <w:bookmarkStart w:id="157" w:name="bookmark160"/>
      <w:bookmarkEnd w:id="157"/>
      <w:r>
        <w:rPr>
          <w:color w:val="000000"/>
        </w:rPr>
        <w:t>创新型国家建设与教育体制改革与创新调查研究</w:t>
      </w:r>
    </w:p>
    <w:p>
      <w:pPr>
        <w:pStyle w:val="15"/>
        <w:numPr>
          <w:ilvl w:val="0"/>
          <w:numId w:val="15"/>
        </w:numPr>
        <w:tabs>
          <w:tab w:val="left" w:pos="1059"/>
        </w:tabs>
        <w:spacing w:line="559" w:lineRule="exact"/>
        <w:jc w:val="both"/>
      </w:pPr>
      <w:bookmarkStart w:id="158" w:name="bookmark161"/>
      <w:bookmarkEnd w:id="158"/>
      <w:r>
        <w:rPr>
          <w:color w:val="000000"/>
        </w:rPr>
        <w:t>增强职业技术教育适应性，深化职普融通、产教融合、校企合作，探索中国特色学徒制，培养技术技能人才的实践案例和 调查研究</w:t>
      </w:r>
    </w:p>
    <w:p>
      <w:pPr>
        <w:pStyle w:val="15"/>
        <w:numPr>
          <w:ilvl w:val="0"/>
          <w:numId w:val="15"/>
        </w:numPr>
        <w:tabs>
          <w:tab w:val="left" w:pos="1040"/>
        </w:tabs>
        <w:spacing w:line="595" w:lineRule="exact"/>
        <w:jc w:val="both"/>
      </w:pPr>
      <w:bookmarkStart w:id="159" w:name="bookmark162"/>
      <w:bookmarkEnd w:id="159"/>
      <w:r>
        <w:rPr>
          <w:color w:val="000000"/>
        </w:rPr>
        <w:t>新世纪我国大学教育教学发展、创新和改革的典型调查研究</w:t>
      </w:r>
    </w:p>
    <w:p>
      <w:pPr>
        <w:pStyle w:val="15"/>
        <w:numPr>
          <w:ilvl w:val="0"/>
          <w:numId w:val="15"/>
        </w:numPr>
        <w:tabs>
          <w:tab w:val="left" w:pos="1066"/>
        </w:tabs>
        <w:spacing w:line="542" w:lineRule="exact"/>
        <w:jc w:val="both"/>
      </w:pPr>
      <w:bookmarkStart w:id="160" w:name="bookmark163"/>
      <w:bookmarkEnd w:id="160"/>
      <w:r>
        <w:rPr>
          <w:color w:val="000000"/>
        </w:rPr>
        <w:t>健全学校家庭社会协同育人机制的举措和经验调查研究</w:t>
      </w:r>
    </w:p>
    <w:p>
      <w:pPr>
        <w:pStyle w:val="15"/>
        <w:numPr>
          <w:ilvl w:val="0"/>
          <w:numId w:val="15"/>
        </w:numPr>
        <w:tabs>
          <w:tab w:val="left" w:pos="1069"/>
        </w:tabs>
        <w:spacing w:line="542" w:lineRule="exact"/>
        <w:jc w:val="both"/>
      </w:pPr>
      <w:bookmarkStart w:id="161" w:name="bookmark164"/>
      <w:bookmarkEnd w:id="161"/>
      <w:r>
        <w:rPr>
          <w:color w:val="000000"/>
        </w:rPr>
        <w:t>培养学生创新精神、创业本领和实践能力教学改革的典型调查</w:t>
      </w:r>
    </w:p>
    <w:p>
      <w:pPr>
        <w:pStyle w:val="15"/>
        <w:numPr>
          <w:ilvl w:val="0"/>
          <w:numId w:val="15"/>
        </w:numPr>
        <w:tabs>
          <w:tab w:val="left" w:pos="1045"/>
        </w:tabs>
        <w:spacing w:line="595" w:lineRule="exact"/>
        <w:jc w:val="both"/>
      </w:pPr>
      <w:bookmarkStart w:id="162" w:name="bookmark165"/>
      <w:bookmarkEnd w:id="162"/>
      <w:r>
        <w:rPr>
          <w:color w:val="000000"/>
        </w:rPr>
        <w:t>增强学生文明素养和社会责任意识的改革与创新调查研究</w:t>
      </w:r>
    </w:p>
    <w:p>
      <w:pPr>
        <w:pStyle w:val="15"/>
        <w:numPr>
          <w:ilvl w:val="0"/>
          <w:numId w:val="15"/>
        </w:numPr>
        <w:tabs>
          <w:tab w:val="left" w:pos="1066"/>
        </w:tabs>
        <w:spacing w:line="557" w:lineRule="exact"/>
        <w:jc w:val="both"/>
      </w:pPr>
      <w:bookmarkStart w:id="163" w:name="bookmark166"/>
      <w:bookmarkEnd w:id="163"/>
      <w:r>
        <w:rPr>
          <w:color w:val="000000"/>
        </w:rPr>
        <w:t>当代大学生价值取向和心理素质的调查分析</w:t>
      </w:r>
    </w:p>
    <w:p>
      <w:pPr>
        <w:pStyle w:val="15"/>
        <w:numPr>
          <w:ilvl w:val="0"/>
          <w:numId w:val="15"/>
        </w:numPr>
        <w:tabs>
          <w:tab w:val="left" w:pos="1064"/>
        </w:tabs>
        <w:spacing w:line="557" w:lineRule="exact"/>
        <w:jc w:val="both"/>
      </w:pPr>
      <w:bookmarkStart w:id="164" w:name="bookmark167"/>
      <w:bookmarkEnd w:id="164"/>
      <w:r>
        <w:rPr>
          <w:color w:val="000000"/>
        </w:rPr>
        <w:t>培养德智体美劳全面发展的社会主义建设者和接班人的典型调查</w:t>
      </w:r>
    </w:p>
    <w:p>
      <w:pPr>
        <w:pStyle w:val="15"/>
        <w:numPr>
          <w:ilvl w:val="0"/>
          <w:numId w:val="15"/>
        </w:numPr>
        <w:tabs>
          <w:tab w:val="left" w:pos="1256"/>
        </w:tabs>
        <w:spacing w:after="60" w:line="542" w:lineRule="exact"/>
        <w:jc w:val="both"/>
      </w:pPr>
      <w:bookmarkStart w:id="165" w:name="bookmark168"/>
      <w:bookmarkEnd w:id="165"/>
      <w:r>
        <w:rPr>
          <w:color w:val="000000"/>
        </w:rPr>
        <w:t>改进青少年身体素质和心理健康教育的做法和经验调查研究</w:t>
      </w:r>
    </w:p>
    <w:p>
      <w:pPr>
        <w:pStyle w:val="15"/>
        <w:numPr>
          <w:ilvl w:val="0"/>
          <w:numId w:val="15"/>
        </w:numPr>
        <w:tabs>
          <w:tab w:val="left" w:pos="1309"/>
        </w:tabs>
        <w:spacing w:line="528" w:lineRule="exact"/>
        <w:jc w:val="both"/>
      </w:pPr>
      <w:bookmarkStart w:id="166" w:name="bookmark169"/>
      <w:bookmarkEnd w:id="166"/>
      <w:r>
        <w:rPr>
          <w:color w:val="000000"/>
        </w:rPr>
        <w:t>各类学校完善中华优秀传统文化教育的实践和经验调查研究</w:t>
      </w:r>
    </w:p>
    <w:p>
      <w:pPr>
        <w:pStyle w:val="15"/>
        <w:numPr>
          <w:ilvl w:val="0"/>
          <w:numId w:val="15"/>
        </w:numPr>
        <w:tabs>
          <w:tab w:val="left" w:pos="1251"/>
        </w:tabs>
        <w:spacing w:line="576" w:lineRule="exact"/>
      </w:pPr>
      <w:bookmarkStart w:id="167" w:name="bookmark170"/>
      <w:bookmarkEnd w:id="167"/>
      <w:r>
        <w:rPr>
          <w:color w:val="000000"/>
        </w:rPr>
        <w:t>各地逐步缩小区域、城乡、校际教育资源差距的举措和经验调查研究</w:t>
      </w:r>
    </w:p>
    <w:p>
      <w:pPr>
        <w:pStyle w:val="15"/>
        <w:numPr>
          <w:ilvl w:val="0"/>
          <w:numId w:val="15"/>
        </w:numPr>
        <w:tabs>
          <w:tab w:val="left" w:pos="1234"/>
        </w:tabs>
        <w:spacing w:line="552" w:lineRule="exact"/>
      </w:pPr>
      <w:bookmarkStart w:id="168" w:name="bookmark171"/>
      <w:bookmarkEnd w:id="168"/>
      <w:r>
        <w:rPr>
          <w:color w:val="000000"/>
        </w:rPr>
        <w:t>国家推进少数民族地区教育发展的举措和成就调查研究</w:t>
      </w:r>
    </w:p>
    <w:p>
      <w:pPr>
        <w:pStyle w:val="15"/>
        <w:numPr>
          <w:ilvl w:val="0"/>
          <w:numId w:val="15"/>
        </w:numPr>
        <w:tabs>
          <w:tab w:val="left" w:pos="1248"/>
        </w:tabs>
        <w:spacing w:line="552" w:lineRule="exact"/>
      </w:pPr>
      <w:bookmarkStart w:id="169" w:name="bookmark172"/>
      <w:bookmarkEnd w:id="169"/>
      <w:r>
        <w:rPr>
          <w:color w:val="000000"/>
        </w:rPr>
        <w:t>中外学校间学生交流活动的调查研究</w:t>
      </w:r>
    </w:p>
    <w:p>
      <w:pPr>
        <w:pStyle w:val="15"/>
        <w:numPr>
          <w:ilvl w:val="0"/>
          <w:numId w:val="15"/>
        </w:numPr>
        <w:tabs>
          <w:tab w:val="left" w:pos="1248"/>
        </w:tabs>
        <w:spacing w:line="552" w:lineRule="exact"/>
      </w:pPr>
      <w:bookmarkStart w:id="170" w:name="bookmark173"/>
      <w:bookmarkEnd w:id="170"/>
      <w:r>
        <w:rPr>
          <w:color w:val="000000"/>
        </w:rPr>
        <w:t>建设学习型社会、完善终身教育实践的调查研究</w:t>
      </w:r>
    </w:p>
    <w:p>
      <w:pPr>
        <w:pStyle w:val="15"/>
        <w:numPr>
          <w:ilvl w:val="0"/>
          <w:numId w:val="15"/>
        </w:numPr>
        <w:tabs>
          <w:tab w:val="left" w:pos="1248"/>
        </w:tabs>
        <w:spacing w:line="552" w:lineRule="exact"/>
        <w:jc w:val="both"/>
      </w:pPr>
      <w:bookmarkStart w:id="171" w:name="bookmark174"/>
      <w:bookmarkEnd w:id="171"/>
      <w:r>
        <w:rPr>
          <w:color w:val="000000"/>
        </w:rPr>
        <w:t>大学生自主创业案例研究</w:t>
      </w:r>
    </w:p>
    <w:p>
      <w:pPr>
        <w:pStyle w:val="15"/>
        <w:numPr>
          <w:ilvl w:val="0"/>
          <w:numId w:val="15"/>
        </w:numPr>
        <w:tabs>
          <w:tab w:val="left" w:pos="1242"/>
        </w:tabs>
        <w:spacing w:line="552" w:lineRule="exact"/>
      </w:pPr>
      <w:bookmarkStart w:id="172" w:name="bookmark175"/>
      <w:bookmarkEnd w:id="172"/>
      <w:r>
        <w:rPr>
          <w:color w:val="000000"/>
        </w:rPr>
        <w:t>互联网、大数据等新技术的教学应用，特别是在线教育的调查研究</w:t>
      </w:r>
    </w:p>
    <w:p>
      <w:pPr>
        <w:pStyle w:val="15"/>
        <w:numPr>
          <w:ilvl w:val="0"/>
          <w:numId w:val="15"/>
        </w:numPr>
        <w:tabs>
          <w:tab w:val="left" w:pos="1248"/>
        </w:tabs>
        <w:spacing w:line="552" w:lineRule="exact"/>
      </w:pPr>
      <w:bookmarkStart w:id="173" w:name="bookmark176"/>
      <w:bookmarkEnd w:id="173"/>
      <w:r>
        <w:rPr>
          <w:color w:val="000000"/>
        </w:rPr>
        <w:t>校园文化、学生社团的调查研究</w:t>
      </w:r>
    </w:p>
    <w:p>
      <w:pPr>
        <w:pStyle w:val="15"/>
        <w:numPr>
          <w:ilvl w:val="0"/>
          <w:numId w:val="15"/>
        </w:numPr>
        <w:tabs>
          <w:tab w:val="left" w:pos="1248"/>
        </w:tabs>
        <w:spacing w:line="552" w:lineRule="exact"/>
      </w:pPr>
      <w:bookmarkStart w:id="174" w:name="bookmark177"/>
      <w:bookmarkEnd w:id="174"/>
      <w:r>
        <w:rPr>
          <w:color w:val="000000"/>
        </w:rPr>
        <w:t>高校思想政治工作及思政课创新实践的经验调查研究</w:t>
      </w:r>
    </w:p>
    <w:p>
      <w:pPr>
        <w:pStyle w:val="15"/>
        <w:numPr>
          <w:ilvl w:val="0"/>
          <w:numId w:val="15"/>
        </w:numPr>
        <w:tabs>
          <w:tab w:val="left" w:pos="1248"/>
        </w:tabs>
        <w:spacing w:line="552" w:lineRule="exact"/>
        <w:sectPr>
          <w:pgSz w:w="11900" w:h="16840"/>
          <w:pgMar w:top="2137" w:right="1510" w:bottom="2263" w:left="1515" w:header="0" w:footer="3" w:gutter="0"/>
          <w:cols w:space="720" w:num="1"/>
          <w:docGrid w:linePitch="360" w:charSpace="0"/>
        </w:sectPr>
      </w:pPr>
      <w:bookmarkStart w:id="175" w:name="bookmark178"/>
      <w:bookmarkEnd w:id="175"/>
      <w:r>
        <w:rPr>
          <w:color w:val="000000"/>
        </w:rPr>
        <w:t>支持和规范民办教育发展，规范校外培训机构的调查研究</w:t>
      </w:r>
    </w:p>
    <w:p>
      <w:pPr>
        <w:pStyle w:val="15"/>
        <w:spacing w:after="560" w:line="240" w:lineRule="auto"/>
        <w:ind w:firstLine="0"/>
        <w:jc w:val="center"/>
        <w:rPr>
          <w:sz w:val="30"/>
          <w:szCs w:val="30"/>
        </w:rPr>
      </w:pPr>
      <w:r>
        <w:rPr>
          <w:color w:val="000000"/>
          <w:sz w:val="30"/>
          <w:szCs w:val="30"/>
        </w:rPr>
        <w:t>管理类</w:t>
      </w:r>
    </w:p>
    <w:p>
      <w:pPr>
        <w:pStyle w:val="15"/>
        <w:numPr>
          <w:ilvl w:val="0"/>
          <w:numId w:val="16"/>
        </w:numPr>
        <w:tabs>
          <w:tab w:val="left" w:pos="1075"/>
        </w:tabs>
        <w:spacing w:line="552" w:lineRule="exact"/>
      </w:pPr>
      <w:bookmarkStart w:id="176" w:name="bookmark179"/>
      <w:bookmarkEnd w:id="176"/>
      <w:r>
        <w:rPr>
          <w:color w:val="000000"/>
        </w:rPr>
        <w:t>数据开放共享和个人隐私保护问题调查研究</w:t>
      </w:r>
    </w:p>
    <w:p>
      <w:pPr>
        <w:pStyle w:val="15"/>
        <w:numPr>
          <w:ilvl w:val="0"/>
          <w:numId w:val="16"/>
        </w:numPr>
        <w:tabs>
          <w:tab w:val="left" w:pos="1075"/>
        </w:tabs>
        <w:spacing w:line="552" w:lineRule="exact"/>
      </w:pPr>
      <w:bookmarkStart w:id="177" w:name="bookmark180"/>
      <w:bookmarkEnd w:id="177"/>
      <w:r>
        <w:rPr>
          <w:color w:val="000000"/>
        </w:rPr>
        <w:t>数据作为生产要素的产权界定、收益分配调查研究</w:t>
      </w:r>
    </w:p>
    <w:p>
      <w:pPr>
        <w:pStyle w:val="15"/>
        <w:numPr>
          <w:ilvl w:val="0"/>
          <w:numId w:val="16"/>
        </w:numPr>
        <w:tabs>
          <w:tab w:val="left" w:pos="1075"/>
        </w:tabs>
        <w:spacing w:line="552" w:lineRule="exact"/>
      </w:pPr>
      <w:bookmarkStart w:id="178" w:name="bookmark181"/>
      <w:bookmarkEnd w:id="178"/>
      <w:r>
        <w:rPr>
          <w:color w:val="000000"/>
        </w:rPr>
        <w:t>特大城市数字化治理及风险防控调查研究</w:t>
      </w:r>
    </w:p>
    <w:p>
      <w:pPr>
        <w:pStyle w:val="15"/>
        <w:numPr>
          <w:ilvl w:val="0"/>
          <w:numId w:val="16"/>
        </w:numPr>
        <w:tabs>
          <w:tab w:val="left" w:pos="1075"/>
        </w:tabs>
        <w:spacing w:line="552" w:lineRule="exact"/>
      </w:pPr>
      <w:bookmarkStart w:id="179" w:name="bookmark182"/>
      <w:bookmarkEnd w:id="179"/>
      <w:r>
        <w:rPr>
          <w:color w:val="000000"/>
        </w:rPr>
        <w:t>知识产权保护、科技成果转化调查研究</w:t>
      </w:r>
    </w:p>
    <w:p>
      <w:pPr>
        <w:pStyle w:val="15"/>
        <w:numPr>
          <w:ilvl w:val="0"/>
          <w:numId w:val="16"/>
        </w:numPr>
        <w:tabs>
          <w:tab w:val="left" w:pos="1075"/>
        </w:tabs>
        <w:spacing w:line="552" w:lineRule="exact"/>
      </w:pPr>
      <w:bookmarkStart w:id="180" w:name="bookmark183"/>
      <w:bookmarkEnd w:id="180"/>
      <w:r>
        <w:rPr>
          <w:color w:val="000000"/>
        </w:rPr>
        <w:t>大型数字平台企业监管问题调查研究</w:t>
      </w:r>
    </w:p>
    <w:p>
      <w:pPr>
        <w:pStyle w:val="15"/>
        <w:numPr>
          <w:ilvl w:val="0"/>
          <w:numId w:val="16"/>
        </w:numPr>
        <w:tabs>
          <w:tab w:val="left" w:pos="1075"/>
        </w:tabs>
        <w:spacing w:line="552" w:lineRule="exact"/>
      </w:pPr>
      <w:bookmarkStart w:id="181" w:name="bookmark184"/>
      <w:bookmarkEnd w:id="181"/>
      <w:r>
        <w:rPr>
          <w:color w:val="000000"/>
        </w:rPr>
        <w:t>灵活就业社会保障制度调查研究</w:t>
      </w:r>
    </w:p>
    <w:p>
      <w:pPr>
        <w:pStyle w:val="15"/>
        <w:numPr>
          <w:ilvl w:val="0"/>
          <w:numId w:val="16"/>
        </w:numPr>
        <w:tabs>
          <w:tab w:val="left" w:pos="1075"/>
        </w:tabs>
        <w:spacing w:line="552" w:lineRule="exact"/>
      </w:pPr>
      <w:bookmarkStart w:id="182" w:name="bookmark185"/>
      <w:bookmarkEnd w:id="182"/>
      <w:r>
        <w:rPr>
          <w:color w:val="000000"/>
        </w:rPr>
        <w:t>生态产品价值实现机制调查研究</w:t>
      </w:r>
    </w:p>
    <w:p>
      <w:pPr>
        <w:pStyle w:val="15"/>
        <w:numPr>
          <w:ilvl w:val="0"/>
          <w:numId w:val="16"/>
        </w:numPr>
        <w:tabs>
          <w:tab w:val="left" w:pos="1075"/>
        </w:tabs>
        <w:spacing w:line="552" w:lineRule="exact"/>
      </w:pPr>
      <w:bookmarkStart w:id="183" w:name="bookmark186"/>
      <w:bookmarkEnd w:id="183"/>
      <w:r>
        <w:rPr>
          <w:color w:val="000000"/>
        </w:rPr>
        <w:t>废旧物资循环利用体系调查研究</w:t>
      </w:r>
    </w:p>
    <w:p>
      <w:pPr>
        <w:pStyle w:val="15"/>
        <w:numPr>
          <w:ilvl w:val="0"/>
          <w:numId w:val="16"/>
        </w:numPr>
        <w:tabs>
          <w:tab w:val="left" w:pos="1075"/>
        </w:tabs>
        <w:spacing w:line="552" w:lineRule="exact"/>
      </w:pPr>
      <w:bookmarkStart w:id="184" w:name="bookmark187"/>
      <w:bookmarkEnd w:id="184"/>
      <w:r>
        <w:rPr>
          <w:color w:val="000000"/>
        </w:rPr>
        <w:t>环境污染专项整治效果评估调查研究</w:t>
      </w:r>
    </w:p>
    <w:p>
      <w:pPr>
        <w:pStyle w:val="15"/>
        <w:numPr>
          <w:ilvl w:val="0"/>
          <w:numId w:val="16"/>
        </w:numPr>
        <w:tabs>
          <w:tab w:val="left" w:pos="1229"/>
        </w:tabs>
        <w:spacing w:line="552" w:lineRule="exact"/>
      </w:pPr>
      <w:bookmarkStart w:id="185" w:name="bookmark188"/>
      <w:bookmarkEnd w:id="185"/>
      <w:r>
        <w:rPr>
          <w:color w:val="000000"/>
        </w:rPr>
        <w:t>企业经营管理数字化、智能化、网络化的调查研究</w:t>
      </w:r>
    </w:p>
    <w:p>
      <w:pPr>
        <w:pStyle w:val="15"/>
        <w:numPr>
          <w:ilvl w:val="0"/>
          <w:numId w:val="16"/>
        </w:numPr>
        <w:tabs>
          <w:tab w:val="left" w:pos="1282"/>
        </w:tabs>
        <w:spacing w:line="552" w:lineRule="exact"/>
      </w:pPr>
      <w:bookmarkStart w:id="186" w:name="bookmark189"/>
      <w:bookmarkEnd w:id="186"/>
      <w:r>
        <w:rPr>
          <w:color w:val="000000"/>
        </w:rPr>
        <w:t>我国企业家队伍成长发展的调查分析</w:t>
      </w:r>
    </w:p>
    <w:p>
      <w:pPr>
        <w:pStyle w:val="15"/>
        <w:numPr>
          <w:ilvl w:val="0"/>
          <w:numId w:val="16"/>
        </w:numPr>
        <w:tabs>
          <w:tab w:val="left" w:pos="1282"/>
        </w:tabs>
        <w:spacing w:line="552" w:lineRule="exact"/>
      </w:pPr>
      <w:bookmarkStart w:id="187" w:name="bookmark190"/>
      <w:bookmarkEnd w:id="187"/>
      <w:r>
        <w:rPr>
          <w:color w:val="000000"/>
        </w:rPr>
        <w:t>企业在创新转型升级中崛起和发展的典型调查</w:t>
      </w:r>
    </w:p>
    <w:p>
      <w:pPr>
        <w:pStyle w:val="15"/>
        <w:numPr>
          <w:ilvl w:val="0"/>
          <w:numId w:val="16"/>
        </w:numPr>
        <w:tabs>
          <w:tab w:val="left" w:pos="1238"/>
        </w:tabs>
        <w:spacing w:line="552" w:lineRule="exact"/>
      </w:pPr>
      <w:bookmarkStart w:id="188" w:name="bookmark191"/>
      <w:bookmarkEnd w:id="188"/>
      <w:r>
        <w:rPr>
          <w:color w:val="000000"/>
        </w:rPr>
        <w:t>突发公共事件监测预警处置机制调查研究</w:t>
      </w:r>
    </w:p>
    <w:p>
      <w:pPr>
        <w:pStyle w:val="15"/>
        <w:numPr>
          <w:ilvl w:val="0"/>
          <w:numId w:val="16"/>
        </w:numPr>
        <w:tabs>
          <w:tab w:val="left" w:pos="1270"/>
        </w:tabs>
        <w:spacing w:line="552" w:lineRule="exact"/>
      </w:pPr>
      <w:bookmarkStart w:id="189" w:name="bookmark192"/>
      <w:bookmarkEnd w:id="189"/>
      <w:r>
        <w:rPr>
          <w:color w:val="000000"/>
        </w:rPr>
        <w:t>新世纪我国商会（企业和企业家协会）建设新进展、新作用调查研究</w:t>
      </w:r>
    </w:p>
    <w:p>
      <w:pPr>
        <w:pStyle w:val="15"/>
        <w:numPr>
          <w:ilvl w:val="0"/>
          <w:numId w:val="16"/>
        </w:numPr>
        <w:tabs>
          <w:tab w:val="left" w:pos="1242"/>
        </w:tabs>
        <w:spacing w:line="552" w:lineRule="exact"/>
      </w:pPr>
      <w:bookmarkStart w:id="190" w:name="bookmark193"/>
      <w:bookmarkEnd w:id="190"/>
      <w:r>
        <w:rPr>
          <w:color w:val="000000"/>
        </w:rPr>
        <w:t>在全面深化改革中政府转型、行政改革和法治政府建设的典型调查</w:t>
      </w:r>
    </w:p>
    <w:p>
      <w:pPr>
        <w:pStyle w:val="15"/>
        <w:numPr>
          <w:ilvl w:val="0"/>
          <w:numId w:val="16"/>
        </w:numPr>
        <w:tabs>
          <w:tab w:val="left" w:pos="1248"/>
        </w:tabs>
        <w:spacing w:line="552" w:lineRule="exact"/>
      </w:pPr>
      <w:bookmarkStart w:id="191" w:name="bookmark194"/>
      <w:bookmarkEnd w:id="191"/>
      <w:r>
        <w:rPr>
          <w:color w:val="000000"/>
        </w:rPr>
        <w:t>基层政府行政管理体制改革创新的典型调查研究</w:t>
      </w:r>
    </w:p>
    <w:p>
      <w:pPr>
        <w:pStyle w:val="15"/>
        <w:numPr>
          <w:ilvl w:val="0"/>
          <w:numId w:val="16"/>
        </w:numPr>
        <w:tabs>
          <w:tab w:val="left" w:pos="1248"/>
        </w:tabs>
        <w:spacing w:line="552" w:lineRule="exact"/>
      </w:pPr>
      <w:bookmarkStart w:id="192" w:name="bookmark195"/>
      <w:bookmarkEnd w:id="192"/>
      <w:r>
        <w:rPr>
          <w:color w:val="000000"/>
        </w:rPr>
        <w:t>政府提供公共服务与购买公共服务改革的典型调查研究</w:t>
      </w:r>
    </w:p>
    <w:p>
      <w:pPr>
        <w:pStyle w:val="15"/>
        <w:numPr>
          <w:ilvl w:val="0"/>
          <w:numId w:val="16"/>
        </w:numPr>
        <w:tabs>
          <w:tab w:val="left" w:pos="1248"/>
        </w:tabs>
        <w:spacing w:line="552" w:lineRule="exact"/>
      </w:pPr>
      <w:bookmarkStart w:id="193" w:name="bookmark196"/>
      <w:bookmarkEnd w:id="193"/>
      <w:r>
        <w:rPr>
          <w:color w:val="000000"/>
        </w:rPr>
        <w:t>便民快捷健全的社会保障服务体系建设的调查研究</w:t>
      </w:r>
    </w:p>
    <w:p>
      <w:pPr>
        <w:pStyle w:val="15"/>
        <w:numPr>
          <w:ilvl w:val="0"/>
          <w:numId w:val="16"/>
        </w:numPr>
        <w:spacing w:line="240" w:lineRule="auto"/>
      </w:pPr>
      <w:bookmarkStart w:id="194" w:name="bookmark197"/>
      <w:bookmarkEnd w:id="194"/>
      <w:r>
        <w:rPr>
          <w:color w:val="000000"/>
        </w:rPr>
        <w:t>各地建立和完善中小微企业服务体系实践和经验的调查研究</w:t>
      </w:r>
    </w:p>
    <w:p>
      <w:pPr>
        <w:pStyle w:val="15"/>
        <w:numPr>
          <w:ilvl w:val="0"/>
          <w:numId w:val="16"/>
        </w:numPr>
        <w:tabs>
          <w:tab w:val="left" w:pos="1205"/>
        </w:tabs>
        <w:spacing w:line="581" w:lineRule="exact"/>
      </w:pPr>
      <w:bookmarkStart w:id="195" w:name="bookmark198"/>
      <w:bookmarkEnd w:id="195"/>
      <w:r>
        <w:rPr>
          <w:color w:val="000000"/>
        </w:rPr>
        <w:t>基层政府推进政务公开、信息公开的调查研究</w:t>
      </w:r>
    </w:p>
    <w:p>
      <w:pPr>
        <w:pStyle w:val="15"/>
        <w:numPr>
          <w:ilvl w:val="0"/>
          <w:numId w:val="16"/>
        </w:numPr>
        <w:tabs>
          <w:tab w:val="left" w:pos="1232"/>
        </w:tabs>
        <w:spacing w:line="581" w:lineRule="exact"/>
      </w:pPr>
      <w:bookmarkStart w:id="196" w:name="bookmark199"/>
      <w:bookmarkEnd w:id="196"/>
      <w:r>
        <w:rPr>
          <w:color w:val="000000"/>
        </w:rPr>
        <w:t>在进一步简政放权改革中基层政府管理和服务体制机制改革创新的调查研究</w:t>
      </w:r>
    </w:p>
    <w:p>
      <w:pPr>
        <w:pStyle w:val="15"/>
        <w:numPr>
          <w:ilvl w:val="0"/>
          <w:numId w:val="16"/>
        </w:numPr>
        <w:tabs>
          <w:tab w:val="left" w:pos="1258"/>
        </w:tabs>
        <w:spacing w:line="581" w:lineRule="exact"/>
      </w:pPr>
      <w:bookmarkStart w:id="197" w:name="bookmark200"/>
      <w:bookmarkEnd w:id="197"/>
      <w:r>
        <w:rPr>
          <w:color w:val="000000"/>
        </w:rPr>
        <w:t>县乡政府管理成本降低状况及存在问题的调查研究</w:t>
      </w:r>
    </w:p>
    <w:p>
      <w:pPr>
        <w:pStyle w:val="15"/>
        <w:numPr>
          <w:ilvl w:val="0"/>
          <w:numId w:val="16"/>
        </w:numPr>
        <w:tabs>
          <w:tab w:val="left" w:pos="1258"/>
        </w:tabs>
        <w:spacing w:line="581" w:lineRule="exact"/>
      </w:pPr>
      <w:bookmarkStart w:id="198" w:name="bookmark201"/>
      <w:bookmarkEnd w:id="198"/>
      <w:r>
        <w:rPr>
          <w:color w:val="000000"/>
        </w:rPr>
        <w:t>（企业、政府、城市）</w:t>
      </w:r>
      <w:r>
        <w:rPr>
          <w:color w:val="000000"/>
          <w:lang w:val="zh-CN" w:eastAsia="zh-CN" w:bidi="zh-CN"/>
        </w:rPr>
        <w:t>“智能</w:t>
      </w:r>
      <w:r>
        <w:rPr>
          <w:color w:val="000000"/>
        </w:rPr>
        <w:t>+”管理创新的调查研究</w:t>
      </w:r>
    </w:p>
    <w:p>
      <w:pPr>
        <w:pStyle w:val="15"/>
        <w:numPr>
          <w:ilvl w:val="0"/>
          <w:numId w:val="16"/>
        </w:numPr>
        <w:tabs>
          <w:tab w:val="left" w:pos="1224"/>
        </w:tabs>
        <w:spacing w:line="581" w:lineRule="exact"/>
        <w:sectPr>
          <w:pgSz w:w="11900" w:h="16840"/>
          <w:pgMar w:top="2240" w:right="1509" w:bottom="2256" w:left="1516" w:header="0" w:footer="3" w:gutter="0"/>
          <w:cols w:space="720" w:num="1"/>
          <w:docGrid w:linePitch="360" w:charSpace="0"/>
        </w:sectPr>
      </w:pPr>
      <w:bookmarkStart w:id="199" w:name="bookmark202"/>
      <w:bookmarkEnd w:id="199"/>
      <w:r>
        <w:rPr>
          <w:color w:val="000000"/>
        </w:rPr>
        <w:t>适应高质量发展要求的政绩考核体系调查研究</w:t>
      </w:r>
    </w:p>
    <w:p>
      <w:pPr>
        <w:pStyle w:val="20"/>
      </w:pPr>
      <w:r>
        <w:rPr>
          <w:color w:val="000000"/>
        </w:rPr>
        <w:t>第十四届</w:t>
      </w:r>
      <w:r>
        <w:rPr>
          <w:color w:val="000000"/>
          <w:lang w:val="zh-CN" w:eastAsia="zh-CN" w:bidi="zh-CN"/>
        </w:rPr>
        <w:t>“挑战</w:t>
      </w:r>
      <w:r>
        <w:rPr>
          <w:color w:val="000000"/>
        </w:rPr>
        <w:t>杯”湖南省大学生课外学术科技作</w:t>
      </w:r>
      <w:r>
        <w:rPr>
          <w:color w:val="000000"/>
        </w:rPr>
        <w:br w:type="textWrapping"/>
      </w:r>
      <w:r>
        <w:rPr>
          <w:color w:val="000000"/>
        </w:rPr>
        <w:t>品竞赛校级赛事组织得分实施细则（试行）</w:t>
      </w:r>
    </w:p>
    <w:p>
      <w:pPr>
        <w:pStyle w:val="16"/>
        <w:spacing w:after="260" w:line="564" w:lineRule="exact"/>
        <w:ind w:firstLine="0"/>
        <w:jc w:val="center"/>
      </w:pPr>
      <w:r>
        <w:rPr>
          <w:b/>
          <w:bCs/>
          <w:color w:val="000000"/>
        </w:rPr>
        <w:t>（草案）</w:t>
      </w:r>
    </w:p>
    <w:p>
      <w:pPr>
        <w:pStyle w:val="16"/>
        <w:spacing w:after="560" w:line="564" w:lineRule="exact"/>
        <w:ind w:firstLine="0"/>
        <w:jc w:val="center"/>
        <w:rPr>
          <w:sz w:val="30"/>
          <w:szCs w:val="30"/>
        </w:rPr>
      </w:pPr>
      <w:r>
        <w:rPr>
          <w:color w:val="000000"/>
          <w:sz w:val="30"/>
          <w:szCs w:val="30"/>
        </w:rPr>
        <w:t>第一章总则</w:t>
      </w:r>
    </w:p>
    <w:p>
      <w:pPr>
        <w:pStyle w:val="16"/>
        <w:spacing w:line="560" w:lineRule="exact"/>
        <w:ind w:firstLine="640"/>
        <w:jc w:val="both"/>
      </w:pPr>
      <w:r>
        <w:rPr>
          <w:color w:val="000000"/>
          <w:sz w:val="30"/>
          <w:szCs w:val="30"/>
        </w:rPr>
        <w:t xml:space="preserve">第一条 </w:t>
      </w:r>
      <w:r>
        <w:rPr>
          <w:color w:val="000000"/>
        </w:rPr>
        <w:t>为增强</w:t>
      </w:r>
      <w:r>
        <w:rPr>
          <w:color w:val="000000"/>
          <w:lang w:val="zh-CN" w:eastAsia="zh-CN" w:bidi="zh-CN"/>
        </w:rPr>
        <w:t>“挑</w:t>
      </w:r>
      <w:r>
        <w:rPr>
          <w:color w:val="000000"/>
        </w:rPr>
        <w:t>战杯”大学生课外学术科技作品竞赛（以下简称</w:t>
      </w:r>
      <w:r>
        <w:rPr>
          <w:color w:val="000000"/>
          <w:lang w:val="zh-CN" w:eastAsia="zh-CN" w:bidi="zh-CN"/>
        </w:rPr>
        <w:t>“挑</w:t>
      </w:r>
      <w:r>
        <w:rPr>
          <w:color w:val="000000"/>
        </w:rPr>
        <w:t xml:space="preserve">战杯”竞赛）的群众性，激励各高校届次化举办 </w:t>
      </w:r>
      <w:r>
        <w:rPr>
          <w:color w:val="000000"/>
          <w:lang w:val="zh-CN" w:eastAsia="zh-CN" w:bidi="zh-CN"/>
        </w:rPr>
        <w:t>“挑</w:t>
      </w:r>
      <w:r>
        <w:rPr>
          <w:color w:val="000000"/>
        </w:rPr>
        <w:t>战杯”竞赛校级赛事、提高校级赛事教师学生参与度、活跃 校园内科技创新氛围、提升学校赛事组织实施工作水平，依据《竞 赛章程》有关要求，制订本细则。</w:t>
      </w:r>
    </w:p>
    <w:p>
      <w:pPr>
        <w:pStyle w:val="16"/>
        <w:spacing w:line="564" w:lineRule="exact"/>
        <w:ind w:firstLine="640"/>
        <w:jc w:val="both"/>
      </w:pPr>
      <w:r>
        <w:rPr>
          <w:color w:val="000000"/>
          <w:sz w:val="30"/>
          <w:szCs w:val="30"/>
        </w:rPr>
        <w:t xml:space="preserve">第二条 </w:t>
      </w:r>
      <w:r>
        <w:rPr>
          <w:color w:val="000000"/>
        </w:rPr>
        <w:t>本细则考察</w:t>
      </w:r>
      <w:r>
        <w:rPr>
          <w:color w:val="000000"/>
          <w:lang w:val="zh-CN" w:eastAsia="zh-CN" w:bidi="zh-CN"/>
        </w:rPr>
        <w:t>“挑</w:t>
      </w:r>
      <w:r>
        <w:rPr>
          <w:color w:val="000000"/>
        </w:rPr>
        <w:t xml:space="preserve">战杯”竞赛校级赛事的组织实施 情况。本细则所称校级赛事，是指各高校为选拔申报省级、全国 </w:t>
      </w:r>
      <w:r>
        <w:rPr>
          <w:color w:val="000000"/>
          <w:lang w:val="zh-CN" w:eastAsia="zh-CN" w:bidi="zh-CN"/>
        </w:rPr>
        <w:t>“挑</w:t>
      </w:r>
      <w:r>
        <w:rPr>
          <w:color w:val="000000"/>
        </w:rPr>
        <w:t>战杯</w:t>
      </w:r>
      <w:r>
        <w:rPr>
          <w:color w:val="000000"/>
          <w:lang w:val="zh-CN" w:eastAsia="zh-CN" w:bidi="zh-CN"/>
        </w:rPr>
        <w:t>”竞赛</w:t>
      </w:r>
      <w:r>
        <w:rPr>
          <w:color w:val="000000"/>
        </w:rPr>
        <w:t>的作品而组织的校级大学生课外学术科技作品竞 赛，校级赛事可以冠以其他名称。考察周期为上一届全国竞赛闭 幕至当届省级竞赛开赛。</w:t>
      </w:r>
    </w:p>
    <w:p>
      <w:pPr>
        <w:pStyle w:val="16"/>
        <w:spacing w:line="564" w:lineRule="exact"/>
        <w:ind w:firstLine="640"/>
        <w:jc w:val="both"/>
      </w:pPr>
      <w:r>
        <w:rPr>
          <w:color w:val="000000"/>
          <w:sz w:val="30"/>
          <w:szCs w:val="30"/>
        </w:rPr>
        <w:t xml:space="preserve">第三条 </w:t>
      </w:r>
      <w:r>
        <w:rPr>
          <w:color w:val="000000"/>
        </w:rPr>
        <w:t>本届挑战杯竞赛细则立足导向性、基础性、 客观性要求。考察符合群众性要求的校级赛事应具备的基本要 素，参照第十三届</w:t>
      </w:r>
      <w:r>
        <w:rPr>
          <w:color w:val="000000"/>
          <w:lang w:val="zh-CN" w:eastAsia="zh-CN" w:bidi="zh-CN"/>
        </w:rPr>
        <w:t>“挑</w:t>
      </w:r>
      <w:r>
        <w:rPr>
          <w:color w:val="000000"/>
        </w:rPr>
        <w:t>战杯”竞赛前后校级赛事平均情况合理设 定考察指标最高值，各高校依据实际情况自评。</w:t>
      </w:r>
    </w:p>
    <w:p>
      <w:pPr>
        <w:pStyle w:val="16"/>
        <w:spacing w:after="520" w:line="564" w:lineRule="exact"/>
        <w:ind w:firstLine="640"/>
        <w:jc w:val="both"/>
      </w:pPr>
      <w:r>
        <w:rPr>
          <w:color w:val="000000"/>
        </w:rPr>
        <w:t>本细则中各指标仅适用于第十四届</w:t>
      </w:r>
      <w:r>
        <w:rPr>
          <w:color w:val="000000"/>
          <w:lang w:val="zh-CN" w:eastAsia="zh-CN" w:bidi="zh-CN"/>
        </w:rPr>
        <w:t>“挑</w:t>
      </w:r>
      <w:r>
        <w:rPr>
          <w:color w:val="000000"/>
        </w:rPr>
        <w:t>战杯”竞赛。本届竞赛结束后，将根据实际情况对评价指标进行调整，逐届优化提高 评价标准来促进校级赛事水平逐步提升。</w:t>
      </w:r>
    </w:p>
    <w:p>
      <w:pPr>
        <w:pStyle w:val="16"/>
        <w:spacing w:after="580" w:line="559" w:lineRule="exact"/>
        <w:ind w:firstLine="0"/>
        <w:jc w:val="center"/>
        <w:rPr>
          <w:sz w:val="30"/>
          <w:szCs w:val="30"/>
        </w:rPr>
      </w:pPr>
      <w:r>
        <w:rPr>
          <w:color w:val="000000"/>
          <w:sz w:val="30"/>
          <w:szCs w:val="30"/>
        </w:rPr>
        <w:t>第二章指标体系</w:t>
      </w:r>
    </w:p>
    <w:p>
      <w:pPr>
        <w:pStyle w:val="16"/>
        <w:spacing w:line="559" w:lineRule="exact"/>
        <w:ind w:firstLine="640"/>
        <w:jc w:val="both"/>
      </w:pPr>
      <w:r>
        <w:rPr>
          <w:color w:val="000000"/>
          <w:sz w:val="30"/>
          <w:szCs w:val="30"/>
        </w:rPr>
        <w:t xml:space="preserve">第四条 </w:t>
      </w:r>
      <w:r>
        <w:rPr>
          <w:color w:val="000000"/>
        </w:rPr>
        <w:t>在考察周期内举办多届校级赛事的，可累计计算指标值，最多两届。</w:t>
      </w:r>
    </w:p>
    <w:p>
      <w:pPr>
        <w:pStyle w:val="16"/>
        <w:spacing w:line="559" w:lineRule="exact"/>
        <w:ind w:firstLine="640"/>
        <w:jc w:val="both"/>
      </w:pPr>
      <w:r>
        <w:rPr>
          <w:color w:val="000000"/>
          <w:sz w:val="30"/>
          <w:szCs w:val="30"/>
        </w:rPr>
        <w:t>第五条</w:t>
      </w:r>
      <w:r>
        <w:rPr>
          <w:color w:val="000000"/>
        </w:rPr>
        <w:t>学校政策支持。考察学校对校级赛事的重视程度和推动力度。</w:t>
      </w:r>
    </w:p>
    <w:p>
      <w:pPr>
        <w:pStyle w:val="16"/>
        <w:numPr>
          <w:ilvl w:val="0"/>
          <w:numId w:val="17"/>
        </w:numPr>
        <w:tabs>
          <w:tab w:val="left" w:pos="1102"/>
        </w:tabs>
        <w:spacing w:line="559" w:lineRule="exact"/>
        <w:ind w:firstLine="640"/>
        <w:jc w:val="both"/>
      </w:pPr>
      <w:bookmarkStart w:id="200" w:name="bookmark203"/>
      <w:bookmarkEnd w:id="200"/>
      <w:r>
        <w:rPr>
          <w:color w:val="000000"/>
        </w:rPr>
        <w:t>正式下发校级赛事相关工作实施意见、通知等文件。学校 校级层面发文或多部门联合下发正式文件的计</w:t>
      </w:r>
      <w:r>
        <w:rPr>
          <w:color w:val="000000"/>
          <w:sz w:val="32"/>
          <w:szCs w:val="32"/>
        </w:rPr>
        <w:t>10</w:t>
      </w:r>
      <w:r>
        <w:rPr>
          <w:color w:val="000000"/>
        </w:rPr>
        <w:t>分，部门单独发文的计</w:t>
      </w:r>
      <w:r>
        <w:rPr>
          <w:color w:val="000000"/>
          <w:sz w:val="32"/>
          <w:szCs w:val="32"/>
        </w:rPr>
        <w:t>5</w:t>
      </w:r>
      <w:r>
        <w:rPr>
          <w:color w:val="000000"/>
        </w:rPr>
        <w:t>分，最高计</w:t>
      </w:r>
      <w:r>
        <w:rPr>
          <w:color w:val="000000"/>
          <w:sz w:val="32"/>
          <w:szCs w:val="32"/>
        </w:rPr>
        <w:t>10</w:t>
      </w:r>
      <w:r>
        <w:rPr>
          <w:color w:val="000000"/>
        </w:rPr>
        <w:t>分。</w:t>
      </w:r>
    </w:p>
    <w:p>
      <w:pPr>
        <w:pStyle w:val="16"/>
        <w:numPr>
          <w:ilvl w:val="0"/>
          <w:numId w:val="17"/>
        </w:numPr>
        <w:tabs>
          <w:tab w:val="left" w:pos="1069"/>
        </w:tabs>
        <w:spacing w:line="581" w:lineRule="exact"/>
        <w:ind w:firstLine="640"/>
        <w:jc w:val="both"/>
      </w:pPr>
      <w:bookmarkStart w:id="201" w:name="bookmark204"/>
      <w:bookmarkEnd w:id="201"/>
      <w:r>
        <w:rPr>
          <w:color w:val="000000"/>
        </w:rPr>
        <w:t>制定政策激励师生参与课外学术科技作品竞赛，有相关政策的计</w:t>
      </w:r>
      <w:r>
        <w:rPr>
          <w:color w:val="000000"/>
          <w:sz w:val="32"/>
          <w:szCs w:val="32"/>
        </w:rPr>
        <w:t>5</w:t>
      </w:r>
      <w:r>
        <w:rPr>
          <w:color w:val="000000"/>
        </w:rPr>
        <w:t>分。</w:t>
      </w:r>
    </w:p>
    <w:p>
      <w:pPr>
        <w:pStyle w:val="16"/>
        <w:numPr>
          <w:ilvl w:val="0"/>
          <w:numId w:val="17"/>
        </w:numPr>
        <w:tabs>
          <w:tab w:val="left" w:pos="1075"/>
        </w:tabs>
        <w:spacing w:line="559" w:lineRule="exact"/>
        <w:ind w:firstLine="640"/>
        <w:jc w:val="both"/>
      </w:pPr>
      <w:bookmarkStart w:id="202" w:name="bookmark205"/>
      <w:bookmarkEnd w:id="202"/>
      <w:r>
        <w:rPr>
          <w:color w:val="000000"/>
        </w:rPr>
        <w:t>学校对学生项目培育设置专项经费支持的，计</w:t>
      </w:r>
      <w:r>
        <w:rPr>
          <w:color w:val="000000"/>
          <w:sz w:val="32"/>
          <w:szCs w:val="32"/>
        </w:rPr>
        <w:t>5</w:t>
      </w:r>
      <w:r>
        <w:rPr>
          <w:color w:val="000000"/>
        </w:rPr>
        <w:t>分。</w:t>
      </w:r>
    </w:p>
    <w:p>
      <w:pPr>
        <w:pStyle w:val="16"/>
        <w:numPr>
          <w:ilvl w:val="0"/>
          <w:numId w:val="17"/>
        </w:numPr>
        <w:tabs>
          <w:tab w:val="left" w:pos="1069"/>
        </w:tabs>
        <w:spacing w:line="559" w:lineRule="exact"/>
        <w:ind w:firstLine="640"/>
        <w:jc w:val="both"/>
      </w:pPr>
      <w:bookmarkStart w:id="203" w:name="bookmark206"/>
      <w:bookmarkEnd w:id="203"/>
      <w:r>
        <w:rPr>
          <w:color w:val="000000"/>
        </w:rPr>
        <w:t>学校对</w:t>
      </w:r>
      <w:r>
        <w:rPr>
          <w:color w:val="000000"/>
          <w:lang w:val="zh-CN" w:eastAsia="zh-CN" w:bidi="zh-CN"/>
        </w:rPr>
        <w:t>“挑</w:t>
      </w:r>
      <w:r>
        <w:rPr>
          <w:color w:val="000000"/>
        </w:rPr>
        <w:t>战杯</w:t>
      </w:r>
      <w:r>
        <w:rPr>
          <w:color w:val="000000"/>
          <w:lang w:val="zh-CN" w:eastAsia="zh-CN" w:bidi="zh-CN"/>
        </w:rPr>
        <w:t>”的政</w:t>
      </w:r>
      <w:r>
        <w:rPr>
          <w:color w:val="000000"/>
        </w:rPr>
        <w:t>策支持力度不低于其他类似竞赛，符合的计</w:t>
      </w:r>
      <w:r>
        <w:rPr>
          <w:color w:val="000000"/>
          <w:sz w:val="32"/>
          <w:szCs w:val="32"/>
        </w:rPr>
        <w:t>10</w:t>
      </w:r>
      <w:r>
        <w:rPr>
          <w:color w:val="000000"/>
        </w:rPr>
        <w:t>分。</w:t>
      </w:r>
    </w:p>
    <w:p>
      <w:pPr>
        <w:pStyle w:val="16"/>
        <w:spacing w:line="559" w:lineRule="exact"/>
        <w:ind w:firstLine="640"/>
        <w:jc w:val="both"/>
      </w:pPr>
      <w:r>
        <w:rPr>
          <w:color w:val="000000"/>
          <w:sz w:val="30"/>
          <w:szCs w:val="30"/>
        </w:rPr>
        <w:t xml:space="preserve">第六条 </w:t>
      </w:r>
      <w:r>
        <w:rPr>
          <w:color w:val="000000"/>
        </w:rPr>
        <w:t>校级赛事组织实施。考察学校举办校级赛事的情况。</w:t>
      </w:r>
    </w:p>
    <w:p>
      <w:pPr>
        <w:pStyle w:val="16"/>
        <w:numPr>
          <w:ilvl w:val="0"/>
          <w:numId w:val="18"/>
        </w:numPr>
        <w:tabs>
          <w:tab w:val="left" w:pos="1075"/>
        </w:tabs>
        <w:spacing w:line="559" w:lineRule="exact"/>
        <w:ind w:firstLine="640"/>
        <w:jc w:val="both"/>
      </w:pPr>
      <w:bookmarkStart w:id="204" w:name="bookmark207"/>
      <w:bookmarkEnd w:id="204"/>
      <w:r>
        <w:rPr>
          <w:color w:val="000000"/>
        </w:rPr>
        <w:t>举办校级赛事的，计</w:t>
      </w:r>
      <w:r>
        <w:rPr>
          <w:color w:val="000000"/>
          <w:sz w:val="32"/>
          <w:szCs w:val="32"/>
        </w:rPr>
        <w:t>5</w:t>
      </w:r>
      <w:r>
        <w:rPr>
          <w:color w:val="000000"/>
        </w:rPr>
        <w:t>分。</w:t>
      </w:r>
    </w:p>
    <w:p>
      <w:pPr>
        <w:pStyle w:val="16"/>
        <w:numPr>
          <w:ilvl w:val="0"/>
          <w:numId w:val="18"/>
        </w:numPr>
        <w:tabs>
          <w:tab w:val="left" w:pos="1075"/>
        </w:tabs>
        <w:spacing w:line="559" w:lineRule="exact"/>
        <w:ind w:firstLine="640"/>
        <w:jc w:val="both"/>
      </w:pPr>
      <w:bookmarkStart w:id="205" w:name="bookmark208"/>
      <w:bookmarkEnd w:id="205"/>
      <w:r>
        <w:rPr>
          <w:color w:val="000000"/>
        </w:rPr>
        <w:t>学校给予团委校级赛专项经费支持的、计</w:t>
      </w:r>
      <w:r>
        <w:rPr>
          <w:color w:val="000000"/>
          <w:sz w:val="32"/>
          <w:szCs w:val="32"/>
        </w:rPr>
        <w:t>5</w:t>
      </w:r>
      <w:r>
        <w:rPr>
          <w:color w:val="000000"/>
        </w:rPr>
        <w:t>分。</w:t>
      </w:r>
    </w:p>
    <w:p>
      <w:pPr>
        <w:pStyle w:val="16"/>
        <w:numPr>
          <w:ilvl w:val="0"/>
          <w:numId w:val="18"/>
        </w:numPr>
        <w:tabs>
          <w:tab w:val="left" w:pos="1075"/>
        </w:tabs>
        <w:spacing w:line="559" w:lineRule="exact"/>
        <w:ind w:firstLine="640"/>
        <w:jc w:val="both"/>
      </w:pPr>
      <w:bookmarkStart w:id="206" w:name="bookmark209"/>
      <w:bookmarkEnd w:id="206"/>
      <w:r>
        <w:rPr>
          <w:color w:val="000000"/>
        </w:rPr>
        <w:t>学校大部分院（系）举办院（系）级赛事，形成校内</w:t>
      </w:r>
      <w:r>
        <w:rPr>
          <w:color w:val="000000"/>
          <w:lang w:val="zh-CN" w:eastAsia="zh-CN" w:bidi="zh-CN"/>
        </w:rPr>
        <w:t>“校</w:t>
      </w:r>
      <w:r>
        <w:rPr>
          <w:rFonts w:hint="eastAsia"/>
          <w:color w:val="000000"/>
          <w:lang w:eastAsia="zh-CN"/>
        </w:rPr>
        <w:t>－</w:t>
      </w:r>
      <w:r>
        <w:rPr>
          <w:color w:val="000000"/>
        </w:rPr>
        <w:t>院”赛事体系的，计</w:t>
      </w:r>
      <w:r>
        <w:rPr>
          <w:color w:val="000000"/>
          <w:sz w:val="32"/>
          <w:szCs w:val="32"/>
        </w:rPr>
        <w:t>5</w:t>
      </w:r>
      <w:r>
        <w:rPr>
          <w:color w:val="000000"/>
        </w:rPr>
        <w:t>分。</w:t>
      </w:r>
    </w:p>
    <w:p>
      <w:pPr>
        <w:pStyle w:val="16"/>
        <w:numPr>
          <w:ilvl w:val="0"/>
          <w:numId w:val="18"/>
        </w:numPr>
        <w:tabs>
          <w:tab w:val="left" w:pos="1059"/>
        </w:tabs>
        <w:spacing w:line="581" w:lineRule="exact"/>
        <w:ind w:firstLine="680"/>
        <w:jc w:val="both"/>
      </w:pPr>
      <w:bookmarkStart w:id="207" w:name="bookmark210"/>
      <w:bookmarkEnd w:id="207"/>
      <w:r>
        <w:rPr>
          <w:color w:val="000000"/>
        </w:rPr>
        <w:t xml:space="preserve">获奖作品信息在全校范围内公示、有监督投诉机制的，计 </w:t>
      </w:r>
      <w:r>
        <w:rPr>
          <w:color w:val="000000"/>
          <w:sz w:val="32"/>
          <w:szCs w:val="32"/>
        </w:rPr>
        <w:t>5</w:t>
      </w:r>
      <w:r>
        <w:rPr>
          <w:color w:val="000000"/>
        </w:rPr>
        <w:t>分。</w:t>
      </w:r>
    </w:p>
    <w:p>
      <w:pPr>
        <w:pStyle w:val="16"/>
        <w:numPr>
          <w:ilvl w:val="0"/>
          <w:numId w:val="18"/>
        </w:numPr>
        <w:tabs>
          <w:tab w:val="left" w:pos="1064"/>
        </w:tabs>
        <w:spacing w:line="542" w:lineRule="exact"/>
        <w:ind w:firstLine="680"/>
        <w:jc w:val="both"/>
      </w:pPr>
      <w:bookmarkStart w:id="208" w:name="bookmark211"/>
      <w:bookmarkEnd w:id="208"/>
      <w:r>
        <w:rPr>
          <w:color w:val="000000"/>
        </w:rPr>
        <w:t>按照校赛成绩推荐参加省赛，学校推荐省赛作品均为校赛获奖高等次的，计</w:t>
      </w:r>
      <w:r>
        <w:rPr>
          <w:color w:val="000000"/>
          <w:sz w:val="32"/>
          <w:szCs w:val="32"/>
        </w:rPr>
        <w:t>5</w:t>
      </w:r>
      <w:r>
        <w:rPr>
          <w:color w:val="000000"/>
        </w:rPr>
        <w:t>分。</w:t>
      </w:r>
    </w:p>
    <w:p>
      <w:pPr>
        <w:pStyle w:val="16"/>
        <w:spacing w:line="547" w:lineRule="exact"/>
        <w:ind w:firstLine="680"/>
        <w:jc w:val="both"/>
      </w:pPr>
      <w:r>
        <w:rPr>
          <w:color w:val="000000"/>
          <w:sz w:val="30"/>
          <w:szCs w:val="30"/>
        </w:rPr>
        <w:t xml:space="preserve">第七条 </w:t>
      </w:r>
      <w:r>
        <w:rPr>
          <w:color w:val="000000"/>
        </w:rPr>
        <w:t>校级赛事参与程度。考察校级赛事广泛吸引教师 和学生参与情况。</w:t>
      </w:r>
    </w:p>
    <w:p>
      <w:pPr>
        <w:pStyle w:val="16"/>
        <w:numPr>
          <w:ilvl w:val="0"/>
          <w:numId w:val="19"/>
        </w:numPr>
        <w:tabs>
          <w:tab w:val="left" w:pos="1098"/>
        </w:tabs>
        <w:spacing w:line="550" w:lineRule="exact"/>
        <w:ind w:firstLine="680"/>
        <w:jc w:val="both"/>
      </w:pPr>
      <w:bookmarkStart w:id="209" w:name="bookmark212"/>
      <w:bookmarkEnd w:id="209"/>
      <w:r>
        <w:rPr>
          <w:color w:val="000000"/>
        </w:rPr>
        <w:t>学生参与情况。校级赛事参赛学生人数占在校生总数比 例，达到</w:t>
      </w:r>
      <w:r>
        <w:rPr>
          <w:color w:val="000000"/>
          <w:sz w:val="32"/>
          <w:szCs w:val="32"/>
        </w:rPr>
        <w:t>3%</w:t>
      </w:r>
      <w:r>
        <w:rPr>
          <w:color w:val="000000"/>
        </w:rPr>
        <w:t>计</w:t>
      </w:r>
      <w:r>
        <w:rPr>
          <w:color w:val="000000"/>
          <w:sz w:val="32"/>
          <w:szCs w:val="32"/>
        </w:rPr>
        <w:t>5</w:t>
      </w:r>
      <w:r>
        <w:rPr>
          <w:color w:val="000000"/>
        </w:rPr>
        <w:t>分，达到</w:t>
      </w:r>
      <w:r>
        <w:rPr>
          <w:color w:val="000000"/>
          <w:sz w:val="32"/>
          <w:szCs w:val="32"/>
        </w:rPr>
        <w:t>6%</w:t>
      </w:r>
      <w:r>
        <w:rPr>
          <w:color w:val="000000"/>
        </w:rPr>
        <w:t>计</w:t>
      </w:r>
      <w:r>
        <w:rPr>
          <w:color w:val="000000"/>
          <w:sz w:val="32"/>
          <w:szCs w:val="32"/>
        </w:rPr>
        <w:t>10</w:t>
      </w:r>
      <w:r>
        <w:rPr>
          <w:color w:val="000000"/>
        </w:rPr>
        <w:t>分，达到</w:t>
      </w:r>
      <w:r>
        <w:rPr>
          <w:color w:val="000000"/>
          <w:sz w:val="32"/>
          <w:szCs w:val="32"/>
        </w:rPr>
        <w:t>10%</w:t>
      </w:r>
      <w:r>
        <w:rPr>
          <w:color w:val="000000"/>
        </w:rPr>
        <w:t>计</w:t>
      </w:r>
      <w:r>
        <w:rPr>
          <w:color w:val="000000"/>
          <w:sz w:val="32"/>
          <w:szCs w:val="32"/>
        </w:rPr>
        <w:t>15</w:t>
      </w:r>
      <w:r>
        <w:rPr>
          <w:color w:val="000000"/>
        </w:rPr>
        <w:t>分，最高 计</w:t>
      </w:r>
      <w:r>
        <w:rPr>
          <w:color w:val="000000"/>
          <w:sz w:val="32"/>
          <w:szCs w:val="32"/>
        </w:rPr>
        <w:t>15</w:t>
      </w:r>
      <w:r>
        <w:rPr>
          <w:color w:val="000000"/>
        </w:rPr>
        <w:t>分。</w:t>
      </w:r>
    </w:p>
    <w:p>
      <w:pPr>
        <w:pStyle w:val="16"/>
        <w:numPr>
          <w:ilvl w:val="0"/>
          <w:numId w:val="19"/>
        </w:numPr>
        <w:tabs>
          <w:tab w:val="left" w:pos="1069"/>
        </w:tabs>
        <w:spacing w:line="554" w:lineRule="exact"/>
        <w:ind w:firstLine="680"/>
        <w:jc w:val="both"/>
      </w:pPr>
      <w:bookmarkStart w:id="210" w:name="bookmark213"/>
      <w:bookmarkEnd w:id="210"/>
      <w:r>
        <w:rPr>
          <w:color w:val="000000"/>
        </w:rPr>
        <w:t>教师参与情况。校级赛事指导教师人数占在职专任教师总数比例，达到</w:t>
      </w:r>
      <w:r>
        <w:rPr>
          <w:color w:val="000000"/>
          <w:sz w:val="32"/>
          <w:szCs w:val="32"/>
        </w:rPr>
        <w:t>3%</w:t>
      </w:r>
      <w:r>
        <w:rPr>
          <w:color w:val="000000"/>
        </w:rPr>
        <w:t>计</w:t>
      </w:r>
      <w:r>
        <w:rPr>
          <w:color w:val="000000"/>
          <w:sz w:val="32"/>
          <w:szCs w:val="32"/>
        </w:rPr>
        <w:t>5</w:t>
      </w:r>
      <w:r>
        <w:rPr>
          <w:color w:val="000000"/>
        </w:rPr>
        <w:t>分，达到</w:t>
      </w:r>
      <w:r>
        <w:rPr>
          <w:color w:val="000000"/>
          <w:sz w:val="32"/>
          <w:szCs w:val="32"/>
        </w:rPr>
        <w:t>6%</w:t>
      </w:r>
      <w:r>
        <w:rPr>
          <w:color w:val="000000"/>
        </w:rPr>
        <w:t>计</w:t>
      </w:r>
      <w:r>
        <w:rPr>
          <w:color w:val="000000"/>
          <w:sz w:val="32"/>
          <w:szCs w:val="32"/>
        </w:rPr>
        <w:t>10</w:t>
      </w:r>
      <w:r>
        <w:rPr>
          <w:color w:val="000000"/>
        </w:rPr>
        <w:t>分，最高计</w:t>
      </w:r>
      <w:r>
        <w:rPr>
          <w:color w:val="000000"/>
          <w:sz w:val="32"/>
          <w:szCs w:val="32"/>
        </w:rPr>
        <w:t>10</w:t>
      </w:r>
      <w:r>
        <w:rPr>
          <w:color w:val="000000"/>
        </w:rPr>
        <w:t>分。</w:t>
      </w:r>
    </w:p>
    <w:p>
      <w:pPr>
        <w:pStyle w:val="16"/>
        <w:numPr>
          <w:ilvl w:val="0"/>
          <w:numId w:val="19"/>
        </w:numPr>
        <w:tabs>
          <w:tab w:val="left" w:pos="1054"/>
        </w:tabs>
        <w:spacing w:line="554" w:lineRule="exact"/>
        <w:ind w:firstLine="680"/>
        <w:jc w:val="both"/>
      </w:pPr>
      <w:bookmarkStart w:id="211" w:name="bookmark214"/>
      <w:bookmarkEnd w:id="211"/>
      <w:r>
        <w:rPr>
          <w:color w:val="000000"/>
        </w:rPr>
        <w:t>项目参赛情况。校级赛事参赛项目总数与在校生总数比例，达到</w:t>
      </w:r>
      <w:r>
        <w:rPr>
          <w:color w:val="000000"/>
          <w:sz w:val="32"/>
          <w:szCs w:val="32"/>
        </w:rPr>
        <w:t>0.5%</w:t>
      </w:r>
      <w:r>
        <w:rPr>
          <w:color w:val="000000"/>
        </w:rPr>
        <w:t>计</w:t>
      </w:r>
      <w:r>
        <w:rPr>
          <w:color w:val="000000"/>
          <w:sz w:val="32"/>
          <w:szCs w:val="32"/>
        </w:rPr>
        <w:t>5</w:t>
      </w:r>
      <w:r>
        <w:rPr>
          <w:color w:val="000000"/>
        </w:rPr>
        <w:t>分，达到</w:t>
      </w:r>
      <w:r>
        <w:rPr>
          <w:color w:val="000000"/>
          <w:sz w:val="32"/>
          <w:szCs w:val="32"/>
        </w:rPr>
        <w:t>1%</w:t>
      </w:r>
      <w:r>
        <w:rPr>
          <w:color w:val="000000"/>
        </w:rPr>
        <w:t>计</w:t>
      </w:r>
      <w:r>
        <w:rPr>
          <w:color w:val="000000"/>
          <w:sz w:val="32"/>
          <w:szCs w:val="32"/>
        </w:rPr>
        <w:t>10</w:t>
      </w:r>
      <w:r>
        <w:rPr>
          <w:color w:val="000000"/>
        </w:rPr>
        <w:t>分，最高计</w:t>
      </w:r>
      <w:r>
        <w:rPr>
          <w:color w:val="000000"/>
          <w:sz w:val="32"/>
          <w:szCs w:val="32"/>
        </w:rPr>
        <w:t>10</w:t>
      </w:r>
      <w:r>
        <w:rPr>
          <w:color w:val="000000"/>
        </w:rPr>
        <w:t>分。</w:t>
      </w:r>
    </w:p>
    <w:p>
      <w:pPr>
        <w:pStyle w:val="16"/>
        <w:spacing w:line="547" w:lineRule="exact"/>
        <w:ind w:firstLine="680"/>
        <w:jc w:val="both"/>
      </w:pPr>
      <w:r>
        <w:rPr>
          <w:color w:val="000000"/>
          <w:sz w:val="30"/>
          <w:szCs w:val="30"/>
        </w:rPr>
        <w:t xml:space="preserve">第八条 </w:t>
      </w:r>
      <w:r>
        <w:rPr>
          <w:color w:val="000000"/>
        </w:rPr>
        <w:t>评审过程考察校级赛事评审工作及评审过程的规范化程度。</w:t>
      </w:r>
    </w:p>
    <w:p>
      <w:pPr>
        <w:pStyle w:val="16"/>
        <w:numPr>
          <w:ilvl w:val="0"/>
          <w:numId w:val="20"/>
        </w:numPr>
        <w:tabs>
          <w:tab w:val="left" w:pos="1115"/>
        </w:tabs>
        <w:spacing w:line="547" w:lineRule="exact"/>
        <w:ind w:firstLine="680"/>
        <w:jc w:val="both"/>
      </w:pPr>
      <w:bookmarkStart w:id="212" w:name="bookmark215"/>
      <w:bookmarkEnd w:id="212"/>
      <w:r>
        <w:rPr>
          <w:color w:val="000000"/>
        </w:rPr>
        <w:t>制定《评审细则》并有规范化评审程序的，计</w:t>
      </w:r>
      <w:r>
        <w:rPr>
          <w:color w:val="000000"/>
          <w:sz w:val="32"/>
          <w:szCs w:val="32"/>
        </w:rPr>
        <w:t>5</w:t>
      </w:r>
      <w:r>
        <w:rPr>
          <w:color w:val="000000"/>
        </w:rPr>
        <w:t>分。</w:t>
      </w:r>
    </w:p>
    <w:p>
      <w:pPr>
        <w:pStyle w:val="16"/>
        <w:numPr>
          <w:ilvl w:val="0"/>
          <w:numId w:val="20"/>
        </w:numPr>
        <w:tabs>
          <w:tab w:val="left" w:pos="1115"/>
        </w:tabs>
        <w:spacing w:line="547" w:lineRule="exact"/>
        <w:ind w:firstLine="680"/>
        <w:jc w:val="both"/>
      </w:pPr>
      <w:bookmarkStart w:id="213" w:name="bookmark216"/>
      <w:bookmarkEnd w:id="213"/>
      <w:r>
        <w:rPr>
          <w:color w:val="000000"/>
        </w:rPr>
        <w:t>设置</w:t>
      </w:r>
      <w:r>
        <w:rPr>
          <w:color w:val="000000"/>
          <w:lang w:val="zh-CN" w:eastAsia="zh-CN" w:bidi="zh-CN"/>
        </w:rPr>
        <w:t>“学</w:t>
      </w:r>
      <w:r>
        <w:rPr>
          <w:color w:val="000000"/>
        </w:rPr>
        <w:t>术诚信审查”环节的，计</w:t>
      </w:r>
      <w:r>
        <w:rPr>
          <w:color w:val="000000"/>
          <w:sz w:val="32"/>
          <w:szCs w:val="32"/>
        </w:rPr>
        <w:t>5</w:t>
      </w:r>
      <w:r>
        <w:rPr>
          <w:color w:val="000000"/>
        </w:rPr>
        <w:t>分。</w:t>
      </w:r>
    </w:p>
    <w:p>
      <w:pPr>
        <w:pStyle w:val="16"/>
        <w:numPr>
          <w:ilvl w:val="0"/>
          <w:numId w:val="20"/>
        </w:numPr>
        <w:tabs>
          <w:tab w:val="left" w:pos="1096"/>
        </w:tabs>
        <w:spacing w:line="547" w:lineRule="exact"/>
        <w:ind w:firstLine="680"/>
        <w:jc w:val="both"/>
      </w:pPr>
      <w:bookmarkStart w:id="214" w:name="bookmark217"/>
      <w:bookmarkEnd w:id="214"/>
      <w:r>
        <w:rPr>
          <w:color w:val="000000"/>
        </w:rPr>
        <w:t>有规范化评审记录的，计</w:t>
      </w:r>
      <w:r>
        <w:rPr>
          <w:color w:val="000000"/>
          <w:sz w:val="32"/>
          <w:szCs w:val="32"/>
        </w:rPr>
        <w:t>5</w:t>
      </w:r>
      <w:r>
        <w:rPr>
          <w:color w:val="000000"/>
        </w:rPr>
        <w:t>分。</w:t>
      </w:r>
    </w:p>
    <w:p>
      <w:pPr>
        <w:pStyle w:val="16"/>
        <w:numPr>
          <w:ilvl w:val="0"/>
          <w:numId w:val="20"/>
        </w:numPr>
        <w:tabs>
          <w:tab w:val="left" w:pos="1106"/>
        </w:tabs>
        <w:spacing w:line="547" w:lineRule="exact"/>
        <w:ind w:firstLine="680"/>
        <w:jc w:val="both"/>
      </w:pPr>
      <w:bookmarkStart w:id="215" w:name="bookmark218"/>
      <w:bookmarkEnd w:id="215"/>
      <w:r>
        <w:rPr>
          <w:color w:val="000000"/>
        </w:rPr>
        <w:t>面向全校公开答辩的</w:t>
      </w:r>
      <w:r>
        <w:rPr>
          <w:rFonts w:hint="eastAsia"/>
          <w:color w:val="000000"/>
          <w:lang w:eastAsia="zh-CN"/>
        </w:rPr>
        <w:t>，</w:t>
      </w:r>
      <w:r>
        <w:rPr>
          <w:color w:val="000000"/>
        </w:rPr>
        <w:t>计</w:t>
      </w:r>
      <w:r>
        <w:rPr>
          <w:color w:val="000000"/>
          <w:sz w:val="32"/>
          <w:szCs w:val="32"/>
        </w:rPr>
        <w:t>5</w:t>
      </w:r>
      <w:r>
        <w:rPr>
          <w:color w:val="000000"/>
        </w:rPr>
        <w:t>分。</w:t>
      </w:r>
    </w:p>
    <w:p>
      <w:pPr>
        <w:pStyle w:val="16"/>
        <w:spacing w:line="571" w:lineRule="exact"/>
        <w:ind w:firstLine="680"/>
        <w:jc w:val="both"/>
      </w:pPr>
      <w:r>
        <w:rPr>
          <w:color w:val="000000"/>
          <w:sz w:val="30"/>
          <w:szCs w:val="30"/>
        </w:rPr>
        <w:t xml:space="preserve">第九条 </w:t>
      </w:r>
      <w:r>
        <w:rPr>
          <w:color w:val="000000"/>
        </w:rPr>
        <w:t>氛围及宣传展示。考察科技创新氛围营造及宣传力度。</w:t>
      </w:r>
    </w:p>
    <w:p>
      <w:pPr>
        <w:pStyle w:val="16"/>
        <w:numPr>
          <w:ilvl w:val="0"/>
          <w:numId w:val="21"/>
        </w:numPr>
        <w:tabs>
          <w:tab w:val="left" w:pos="1075"/>
        </w:tabs>
        <w:spacing w:line="554" w:lineRule="exact"/>
        <w:ind w:firstLine="640"/>
        <w:jc w:val="both"/>
      </w:pPr>
      <w:bookmarkStart w:id="216" w:name="bookmark219"/>
      <w:bookmarkEnd w:id="216"/>
      <w:r>
        <w:rPr>
          <w:color w:val="000000"/>
        </w:rPr>
        <w:t>项目公开展示的，计</w:t>
      </w:r>
      <w:r>
        <w:rPr>
          <w:color w:val="000000"/>
          <w:sz w:val="32"/>
          <w:szCs w:val="32"/>
        </w:rPr>
        <w:t>5</w:t>
      </w:r>
      <w:r>
        <w:rPr>
          <w:color w:val="000000"/>
        </w:rPr>
        <w:t>分。</w:t>
      </w:r>
    </w:p>
    <w:p>
      <w:pPr>
        <w:pStyle w:val="16"/>
        <w:numPr>
          <w:ilvl w:val="0"/>
          <w:numId w:val="21"/>
        </w:numPr>
        <w:tabs>
          <w:tab w:val="left" w:pos="1075"/>
        </w:tabs>
        <w:spacing w:line="554" w:lineRule="exact"/>
        <w:ind w:firstLine="640"/>
        <w:jc w:val="both"/>
      </w:pPr>
      <w:bookmarkStart w:id="217" w:name="bookmark220"/>
      <w:bookmarkEnd w:id="217"/>
      <w:r>
        <w:rPr>
          <w:color w:val="000000"/>
        </w:rPr>
        <w:t>开展赛前宣讲、交流分享或培训活动的，计</w:t>
      </w:r>
      <w:r>
        <w:rPr>
          <w:color w:val="000000"/>
          <w:sz w:val="32"/>
          <w:szCs w:val="32"/>
        </w:rPr>
        <w:t>5</w:t>
      </w:r>
      <w:r>
        <w:rPr>
          <w:color w:val="000000"/>
        </w:rPr>
        <w:t>分。</w:t>
      </w:r>
    </w:p>
    <w:p>
      <w:pPr>
        <w:pStyle w:val="16"/>
        <w:numPr>
          <w:ilvl w:val="0"/>
          <w:numId w:val="21"/>
        </w:numPr>
        <w:tabs>
          <w:tab w:val="left" w:pos="1069"/>
        </w:tabs>
        <w:spacing w:line="554" w:lineRule="exact"/>
        <w:ind w:firstLine="640"/>
        <w:jc w:val="both"/>
      </w:pPr>
      <w:bookmarkStart w:id="218" w:name="bookmark221"/>
      <w:bookmarkEnd w:id="218"/>
      <w:r>
        <w:rPr>
          <w:color w:val="000000"/>
        </w:rPr>
        <w:t>校级赛事得到校级官方媒体报道的，计</w:t>
      </w:r>
      <w:r>
        <w:rPr>
          <w:color w:val="000000"/>
          <w:sz w:val="32"/>
          <w:szCs w:val="32"/>
        </w:rPr>
        <w:t>5</w:t>
      </w:r>
      <w:r>
        <w:rPr>
          <w:color w:val="000000"/>
        </w:rPr>
        <w:t>分；典型参赛生 或作品、指导教师得到校级媒体专项报道的，计</w:t>
      </w:r>
      <w:r>
        <w:rPr>
          <w:color w:val="000000"/>
          <w:sz w:val="32"/>
          <w:szCs w:val="32"/>
        </w:rPr>
        <w:t>5</w:t>
      </w:r>
      <w:r>
        <w:rPr>
          <w:color w:val="000000"/>
        </w:rPr>
        <w:t>分。</w:t>
      </w:r>
    </w:p>
    <w:p>
      <w:pPr>
        <w:pStyle w:val="16"/>
        <w:numPr>
          <w:ilvl w:val="0"/>
          <w:numId w:val="21"/>
        </w:numPr>
        <w:tabs>
          <w:tab w:val="left" w:pos="1064"/>
        </w:tabs>
        <w:spacing w:line="554" w:lineRule="exact"/>
        <w:ind w:firstLine="640"/>
        <w:jc w:val="both"/>
      </w:pPr>
      <w:bookmarkStart w:id="219" w:name="bookmark222"/>
      <w:bookmarkEnd w:id="219"/>
      <w:r>
        <w:rPr>
          <w:color w:val="000000"/>
        </w:rPr>
        <w:t>学校日常开展学生科技创新相关宣传活动，计</w:t>
      </w:r>
      <w:r>
        <w:rPr>
          <w:color w:val="000000"/>
          <w:sz w:val="32"/>
          <w:szCs w:val="32"/>
        </w:rPr>
        <w:t>5</w:t>
      </w:r>
      <w:r>
        <w:rPr>
          <w:color w:val="000000"/>
        </w:rPr>
        <w:t>分；采用短视频、微记录、云分享等学生喜闻乐见的方式开展日常宣传教 育的，计</w:t>
      </w:r>
      <w:r>
        <w:rPr>
          <w:color w:val="000000"/>
          <w:sz w:val="32"/>
          <w:szCs w:val="32"/>
        </w:rPr>
        <w:t>5</w:t>
      </w:r>
      <w:r>
        <w:rPr>
          <w:color w:val="000000"/>
        </w:rPr>
        <w:t>分；开展区域交流或校际交流等活动的，计</w:t>
      </w:r>
      <w:r>
        <w:rPr>
          <w:color w:val="000000"/>
          <w:sz w:val="32"/>
          <w:szCs w:val="32"/>
        </w:rPr>
        <w:t>5</w:t>
      </w:r>
      <w:r>
        <w:rPr>
          <w:color w:val="000000"/>
        </w:rPr>
        <w:t>分。</w:t>
      </w:r>
    </w:p>
    <w:p>
      <w:pPr>
        <w:pStyle w:val="16"/>
        <w:numPr>
          <w:ilvl w:val="0"/>
          <w:numId w:val="21"/>
        </w:numPr>
        <w:tabs>
          <w:tab w:val="left" w:pos="1045"/>
        </w:tabs>
        <w:spacing w:after="540" w:line="581" w:lineRule="exact"/>
        <w:ind w:firstLine="640"/>
        <w:jc w:val="both"/>
      </w:pPr>
      <w:bookmarkStart w:id="220" w:name="bookmark223"/>
      <w:bookmarkEnd w:id="220"/>
      <w:r>
        <w:rPr>
          <w:color w:val="000000"/>
        </w:rPr>
        <w:t>学校关于科技创新的宣传产品或活动被团中央采纳在全国平台播放或推广的，计</w:t>
      </w:r>
      <w:r>
        <w:rPr>
          <w:color w:val="000000"/>
          <w:sz w:val="32"/>
          <w:szCs w:val="32"/>
        </w:rPr>
        <w:t>10</w:t>
      </w:r>
      <w:r>
        <w:rPr>
          <w:color w:val="000000"/>
        </w:rPr>
        <w:t>分。</w:t>
      </w:r>
    </w:p>
    <w:p>
      <w:pPr>
        <w:pStyle w:val="16"/>
        <w:spacing w:after="540" w:line="559" w:lineRule="exact"/>
        <w:ind w:firstLine="0"/>
        <w:jc w:val="center"/>
        <w:rPr>
          <w:sz w:val="30"/>
          <w:szCs w:val="30"/>
        </w:rPr>
      </w:pPr>
      <w:r>
        <w:rPr>
          <w:color w:val="000000"/>
          <w:sz w:val="30"/>
          <w:szCs w:val="30"/>
        </w:rPr>
        <w:t>第三章评价组织实施</w:t>
      </w:r>
    </w:p>
    <w:p>
      <w:pPr>
        <w:pStyle w:val="16"/>
        <w:spacing w:line="557" w:lineRule="exact"/>
        <w:ind w:firstLine="640"/>
        <w:jc w:val="both"/>
      </w:pPr>
      <w:r>
        <w:rPr>
          <w:color w:val="000000"/>
          <w:sz w:val="30"/>
          <w:szCs w:val="30"/>
        </w:rPr>
        <w:t xml:space="preserve">第十条 </w:t>
      </w:r>
      <w:r>
        <w:rPr>
          <w:color w:val="000000"/>
          <w:lang w:val="zh-CN" w:eastAsia="zh-CN" w:bidi="zh-CN"/>
        </w:rPr>
        <w:t>“挑</w:t>
      </w:r>
      <w:r>
        <w:rPr>
          <w:color w:val="000000"/>
        </w:rPr>
        <w:t>战杯”省级组织委员会秘书处负责各高校校级赛事组织工作的监督、审核及实施评价工作。</w:t>
      </w:r>
    </w:p>
    <w:p>
      <w:pPr>
        <w:pStyle w:val="16"/>
        <w:spacing w:line="557" w:lineRule="exact"/>
        <w:ind w:firstLine="640"/>
        <w:jc w:val="both"/>
      </w:pPr>
      <w:r>
        <w:rPr>
          <w:color w:val="000000"/>
          <w:sz w:val="30"/>
          <w:szCs w:val="30"/>
        </w:rPr>
        <w:t>第十一条</w:t>
      </w:r>
      <w:r>
        <w:rPr>
          <w:color w:val="000000"/>
        </w:rPr>
        <w:t>评定程序。</w:t>
      </w:r>
    </w:p>
    <w:p>
      <w:pPr>
        <w:pStyle w:val="16"/>
        <w:numPr>
          <w:ilvl w:val="0"/>
          <w:numId w:val="22"/>
        </w:numPr>
        <w:tabs>
          <w:tab w:val="left" w:pos="1098"/>
        </w:tabs>
        <w:spacing w:line="562" w:lineRule="exact"/>
        <w:ind w:firstLine="640"/>
        <w:jc w:val="both"/>
      </w:pPr>
      <w:bookmarkStart w:id="221" w:name="bookmark224"/>
      <w:bookmarkEnd w:id="221"/>
      <w:r>
        <w:rPr>
          <w:color w:val="000000"/>
        </w:rPr>
        <w:t>申报。凡参加挑战杯竞赛国赛高校，均应当根据本细则中的指标要求，进行自我评价赋分，填写《第十四届</w:t>
      </w:r>
      <w:r>
        <w:rPr>
          <w:color w:val="000000"/>
          <w:lang w:val="zh-CN" w:eastAsia="zh-CN" w:bidi="zh-CN"/>
        </w:rPr>
        <w:t>“挑</w:t>
      </w:r>
      <w:r>
        <w:rPr>
          <w:color w:val="000000"/>
        </w:rPr>
        <w:t>战杯” 竞赛校级赛事组织实施情况评价表》并加盖校章（以下简称评价 表），在校级赛事结束后提交省级组织委员会审核。</w:t>
      </w:r>
    </w:p>
    <w:p>
      <w:pPr>
        <w:pStyle w:val="16"/>
        <w:numPr>
          <w:ilvl w:val="0"/>
          <w:numId w:val="22"/>
        </w:numPr>
        <w:tabs>
          <w:tab w:val="left" w:pos="910"/>
        </w:tabs>
        <w:spacing w:line="581" w:lineRule="exact"/>
        <w:ind w:firstLine="640"/>
        <w:jc w:val="both"/>
      </w:pPr>
      <w:bookmarkStart w:id="222" w:name="bookmark225"/>
      <w:bookmarkEnd w:id="222"/>
      <w:r>
        <w:rPr>
          <w:color w:val="000000"/>
        </w:rPr>
        <w:t>报送。各校级组委会应于</w:t>
      </w:r>
      <w:r>
        <w:rPr>
          <w:color w:val="000000"/>
          <w:sz w:val="32"/>
          <w:szCs w:val="32"/>
        </w:rPr>
        <w:t>4</w:t>
      </w:r>
      <w:r>
        <w:rPr>
          <w:color w:val="000000"/>
        </w:rPr>
        <w:t>月</w:t>
      </w:r>
      <w:r>
        <w:rPr>
          <w:color w:val="000000"/>
          <w:sz w:val="32"/>
          <w:szCs w:val="32"/>
        </w:rPr>
        <w:t>5</w:t>
      </w:r>
      <w:r>
        <w:rPr>
          <w:color w:val="000000"/>
        </w:rPr>
        <w:t>日前，将最终确认的参加</w:t>
      </w:r>
      <w:r>
        <w:rPr>
          <w:color w:val="000000"/>
          <w:lang w:val="zh-CN" w:eastAsia="zh-CN" w:bidi="zh-CN"/>
        </w:rPr>
        <w:t>“挑</w:t>
      </w:r>
      <w:r>
        <w:rPr>
          <w:color w:val="000000"/>
        </w:rPr>
        <w:t>战杯”竞赛国赛高校评价表加盖公章后，寄送至</w:t>
      </w:r>
      <w:r>
        <w:rPr>
          <w:color w:val="000000"/>
          <w:lang w:val="zh-CN" w:eastAsia="zh-CN" w:bidi="zh-CN"/>
        </w:rPr>
        <w:t>“挑</w:t>
      </w:r>
      <w:r>
        <w:rPr>
          <w:color w:val="000000"/>
        </w:rPr>
        <w:t>战杯”</w:t>
      </w:r>
    </w:p>
    <w:p>
      <w:pPr>
        <w:pStyle w:val="16"/>
        <w:spacing w:line="581" w:lineRule="exact"/>
        <w:ind w:firstLine="0"/>
        <w:jc w:val="both"/>
      </w:pPr>
      <w:r>
        <w:rPr>
          <w:color w:val="000000"/>
        </w:rPr>
        <w:t>竞赛省级组织委员会办公室，寄出截止日期以当地邮戳为准。加盖公章的评价表电子版一并发送到邮箱</w:t>
      </w:r>
      <w:r>
        <w:rPr>
          <w:color w:val="000000"/>
          <w:sz w:val="32"/>
          <w:szCs w:val="32"/>
          <w:lang w:val="en-US" w:eastAsia="en-US" w:bidi="en-US"/>
        </w:rPr>
        <w:t>hnstzb2021@163.com</w:t>
      </w:r>
      <w:r>
        <w:rPr>
          <w:color w:val="000000"/>
          <w:lang w:val="en-US" w:eastAsia="en-US" w:bidi="en-US"/>
        </w:rPr>
        <w:t>。</w:t>
      </w:r>
    </w:p>
    <w:p>
      <w:pPr>
        <w:pStyle w:val="16"/>
        <w:numPr>
          <w:ilvl w:val="0"/>
          <w:numId w:val="22"/>
        </w:numPr>
        <w:tabs>
          <w:tab w:val="left" w:pos="1054"/>
        </w:tabs>
        <w:spacing w:line="564" w:lineRule="exact"/>
        <w:ind w:firstLine="660"/>
        <w:jc w:val="both"/>
      </w:pPr>
      <w:bookmarkStart w:id="223" w:name="bookmark226"/>
      <w:bookmarkEnd w:id="223"/>
      <w:r>
        <w:rPr>
          <w:color w:val="000000"/>
        </w:rPr>
        <w:t>审核。省级组织委员会对区域内高校自评表的真实性、合理性进行审查认定，同时进行一定比例的抽检。审查、抽检后， 对各高校自评分予以确认。</w:t>
      </w:r>
    </w:p>
    <w:p>
      <w:pPr>
        <w:pStyle w:val="16"/>
        <w:numPr>
          <w:ilvl w:val="0"/>
          <w:numId w:val="22"/>
        </w:numPr>
        <w:tabs>
          <w:tab w:val="left" w:pos="1054"/>
        </w:tabs>
        <w:spacing w:line="586" w:lineRule="exact"/>
        <w:ind w:firstLine="660"/>
        <w:jc w:val="both"/>
      </w:pPr>
      <w:bookmarkStart w:id="224" w:name="bookmark227"/>
      <w:bookmarkEnd w:id="224"/>
      <w:r>
        <w:rPr>
          <w:color w:val="000000"/>
        </w:rPr>
        <w:t>公示。省级组织委员会将确认无误的高校自评表、以通讯方式向省份内参赛高校进行不少于</w:t>
      </w:r>
      <w:r>
        <w:rPr>
          <w:color w:val="000000"/>
          <w:sz w:val="32"/>
          <w:szCs w:val="32"/>
        </w:rPr>
        <w:t>5</w:t>
      </w:r>
      <w:r>
        <w:rPr>
          <w:color w:val="000000"/>
        </w:rPr>
        <w:t>天的公示。</w:t>
      </w:r>
    </w:p>
    <w:p>
      <w:pPr>
        <w:pStyle w:val="16"/>
        <w:spacing w:line="586" w:lineRule="exact"/>
        <w:ind w:firstLine="660"/>
        <w:jc w:val="both"/>
      </w:pPr>
      <w:r>
        <w:rPr>
          <w:color w:val="000000"/>
          <w:sz w:val="30"/>
          <w:szCs w:val="30"/>
        </w:rPr>
        <w:t>第十二条</w:t>
      </w:r>
      <w:r>
        <w:rPr>
          <w:color w:val="000000"/>
        </w:rPr>
        <w:t>若学校应当提交而未提交校级赛事组织评价材料</w:t>
      </w:r>
      <w:r>
        <w:rPr>
          <w:rFonts w:hint="eastAsia"/>
          <w:color w:val="000000"/>
          <w:lang w:eastAsia="zh-CN"/>
        </w:rPr>
        <w:t>，</w:t>
      </w:r>
      <w:r>
        <w:rPr>
          <w:color w:val="000000"/>
        </w:rPr>
        <w:t>校级赛事组织得分记为零。</w:t>
      </w:r>
    </w:p>
    <w:p>
      <w:pPr>
        <w:pStyle w:val="16"/>
        <w:spacing w:after="540" w:line="554" w:lineRule="exact"/>
        <w:ind w:firstLine="660"/>
        <w:jc w:val="both"/>
      </w:pPr>
      <w:r>
        <w:rPr>
          <w:color w:val="000000"/>
        </w:rPr>
        <w:t>若报送至省级组织委员会办公室的材料存在造假行为，取消涉假学校参评</w:t>
      </w:r>
      <w:r>
        <w:rPr>
          <w:color w:val="000000"/>
          <w:lang w:val="zh-CN" w:eastAsia="zh-CN" w:bidi="zh-CN"/>
        </w:rPr>
        <w:t>“挑</w:t>
      </w:r>
      <w:r>
        <w:rPr>
          <w:color w:val="000000"/>
        </w:rPr>
        <w:t>战杯</w:t>
      </w:r>
      <w:r>
        <w:rPr>
          <w:color w:val="000000"/>
          <w:lang w:val="zh-CN" w:eastAsia="zh-CN" w:bidi="zh-CN"/>
        </w:rPr>
        <w:t>”“优</w:t>
      </w:r>
      <w:r>
        <w:rPr>
          <w:color w:val="000000"/>
        </w:rPr>
        <w:t>胜杯”及其他集体奖项的资格，视 情节轻重取消该学校下届参赛资格。</w:t>
      </w:r>
    </w:p>
    <w:p>
      <w:pPr>
        <w:pStyle w:val="16"/>
        <w:spacing w:after="540" w:line="563" w:lineRule="exact"/>
        <w:ind w:firstLine="0"/>
        <w:jc w:val="center"/>
        <w:rPr>
          <w:sz w:val="30"/>
          <w:szCs w:val="30"/>
        </w:rPr>
      </w:pPr>
      <w:r>
        <w:rPr>
          <w:color w:val="000000"/>
          <w:sz w:val="30"/>
          <w:szCs w:val="30"/>
        </w:rPr>
        <w:t>第四章附则</w:t>
      </w:r>
    </w:p>
    <w:p>
      <w:pPr>
        <w:pStyle w:val="16"/>
        <w:spacing w:line="563" w:lineRule="exact"/>
        <w:ind w:firstLine="660"/>
        <w:jc w:val="both"/>
      </w:pPr>
      <w:r>
        <w:rPr>
          <w:color w:val="000000"/>
          <w:sz w:val="30"/>
          <w:szCs w:val="30"/>
        </w:rPr>
        <w:t>第十三条</w:t>
      </w:r>
      <w:r>
        <w:rPr>
          <w:color w:val="000000"/>
        </w:rPr>
        <w:t>本细则由</w:t>
      </w:r>
      <w:r>
        <w:rPr>
          <w:color w:val="000000"/>
          <w:lang w:val="zh-CN" w:eastAsia="zh-CN" w:bidi="zh-CN"/>
        </w:rPr>
        <w:t>“挑</w:t>
      </w:r>
      <w:r>
        <w:rPr>
          <w:color w:val="000000"/>
        </w:rPr>
        <w:t>战杯”大学生课外学术科技作品竞赛省级组织委员会解释。</w:t>
      </w:r>
    </w:p>
    <w:p>
      <w:pPr>
        <w:pStyle w:val="16"/>
        <w:spacing w:line="563" w:lineRule="exact"/>
        <w:ind w:firstLine="660"/>
        <w:jc w:val="both"/>
      </w:pPr>
      <w:r>
        <w:rPr>
          <w:color w:val="000000"/>
          <w:sz w:val="30"/>
          <w:szCs w:val="30"/>
        </w:rPr>
        <w:t xml:space="preserve">第十四条 </w:t>
      </w:r>
      <w:r>
        <w:rPr>
          <w:color w:val="000000"/>
        </w:rPr>
        <w:t>本细则自颁布之日起执行。</w:t>
      </w:r>
    </w:p>
    <w:p>
      <w:pPr>
        <w:pStyle w:val="16"/>
        <w:spacing w:after="280" w:line="563" w:lineRule="exact"/>
        <w:ind w:firstLine="660"/>
        <w:jc w:val="both"/>
      </w:pPr>
      <w:r>
        <w:rPr>
          <w:color w:val="000000"/>
        </w:rPr>
        <w:t>注：本细则中所指在校生总数、在职专任教师总数，应与各类高等院校</w:t>
      </w:r>
      <w:r>
        <w:rPr>
          <w:color w:val="000000"/>
          <w:sz w:val="32"/>
          <w:szCs w:val="32"/>
        </w:rPr>
        <w:t>2020</w:t>
      </w:r>
      <w:r>
        <w:rPr>
          <w:color w:val="000000"/>
        </w:rPr>
        <w:t>年《高等教育学校（机构）统计报表》中填报 的，正式注册的全日制非成人教育的在校专科生、本科生、硕士研究生，以及在职专任教师人数一致。</w:t>
      </w:r>
    </w:p>
    <w:p>
      <w:pPr>
        <w:pStyle w:val="3"/>
        <w:spacing w:before="194"/>
        <w:ind w:left="772"/>
        <w:rPr>
          <w:rFonts w:ascii="Times New Roman"/>
        </w:rPr>
      </w:pPr>
    </w:p>
    <w:sectPr>
      <w:footerReference r:id="rId11" w:type="default"/>
      <w:pgSz w:w="11910" w:h="16840"/>
      <w:pgMar w:top="1580" w:right="940" w:bottom="1380" w:left="1400" w:header="0" w:footer="11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6A1DA3-E530-4113-86E7-6B064C34F054}"/>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179D2577-F01F-4487-ACCC-418B8B50B5E7}"/>
  </w:font>
  <w:font w:name="仿宋_GB2312">
    <w:altName w:val="仿宋"/>
    <w:panose1 w:val="02010609030101010101"/>
    <w:charset w:val="86"/>
    <w:family w:val="modern"/>
    <w:pitch w:val="default"/>
    <w:sig w:usb0="00000000" w:usb1="00000000" w:usb2="00000010" w:usb3="00000000" w:csb0="00040000" w:csb1="00000000"/>
    <w:embedRegular r:id="rId3" w:fontKey="{4BC32932-6C6E-4529-A897-56E44FDB723E}"/>
  </w:font>
  <w:font w:name="仿宋">
    <w:panose1 w:val="02010609060101010101"/>
    <w:charset w:val="86"/>
    <w:family w:val="modern"/>
    <w:pitch w:val="default"/>
    <w:sig w:usb0="800002BF" w:usb1="38CF7CFA" w:usb2="00000016" w:usb3="00000000" w:csb0="00040001" w:csb1="00000000"/>
    <w:embedRegular r:id="rId4" w:fontKey="{49137524-78E1-41F4-80BD-395D677E72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7" o:spid="_x0000_s2057" o:spt="202" type="#_x0000_t202" style="position:absolute;left:0pt;margin-left:466.9pt;margin-top:787.55pt;height:10.3pt;width:51.85pt;mso-position-horizontal-relative:page;mso-position-vertical-relative:page;mso-wrap-style:none;z-index:-251657216;mso-width-relative:page;mso-height-relative:page;" filled="f" stroked="f" coordsize="21600,21600" o:gfxdata="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eRY99gAAAAOAQAADwAAAAAAAAABACAAAAAiAAAAZHJzL2Rvd25yZXYueG1sUEsB&#10;AhQAFAAAAAgAh07iQHnvmgu8AQAAlQMAAA4AAAAAAAAAAQAgAAAAJwEAAGRycy9lMm9Eb2MueG1s&#10;UEsFBgAAAAAGAAYAWQEAAFUFAAAAAA==&#10;">
          <v:path/>
          <v:fill on="f" focussize="0,0"/>
          <v:stroke on="f" joinstyle="miter"/>
          <v:imagedata o:title=""/>
          <o:lock v:ext="edit"/>
          <v:textbox inset="0mm,0mm,0mm,0mm" style="mso-fit-shape-to-text:t;">
            <w:txbxContent>
              <w:p>
                <w:pPr>
                  <w:pStyle w:val="22"/>
                  <w:rPr>
                    <w:sz w:val="30"/>
                    <w:szCs w:val="30"/>
                  </w:rPr>
                </w:pPr>
                <w:r>
                  <w:rPr>
                    <w:rFonts w:ascii="宋体" w:hAnsi="宋体" w:eastAsia="宋体" w:cs="宋体"/>
                    <w:color w:val="000000"/>
                    <w:sz w:val="30"/>
                    <w:szCs w:val="30"/>
                  </w:rPr>
                  <w:t>—</w:t>
                </w:r>
                <w:r>
                  <w:fldChar w:fldCharType="begin"/>
                </w:r>
                <w:r>
                  <w:instrText xml:space="preserve"> PAGE \* MERGEFORMAT </w:instrText>
                </w:r>
                <w:r>
                  <w:fldChar w:fldCharType="separate"/>
                </w:r>
                <w:r>
                  <w:rPr>
                    <w:rFonts w:ascii="宋体" w:hAnsi="宋体" w:eastAsia="宋体" w:cs="宋体"/>
                    <w:color w:val="000000"/>
                    <w:sz w:val="30"/>
                    <w:szCs w:val="30"/>
                  </w:rPr>
                  <w:t>2</w:t>
                </w:r>
                <w:r>
                  <w:rPr>
                    <w:rFonts w:ascii="宋体" w:hAnsi="宋体" w:eastAsia="宋体" w:cs="宋体"/>
                    <w:color w:val="000000"/>
                    <w:sz w:val="30"/>
                    <w:szCs w:val="30"/>
                  </w:rPr>
                  <w:fldChar w:fldCharType="end"/>
                </w:r>
                <w:r>
                  <w:rPr>
                    <w:rFonts w:ascii="宋体" w:hAnsi="宋体" w:eastAsia="宋体" w:cs="宋体"/>
                    <w:color w:val="000000"/>
                    <w:sz w:val="30"/>
                    <w:szCs w:val="30"/>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9" o:spid="_x0000_s2056" o:spt="202" type="#_x0000_t202" style="position:absolute;left:0pt;margin-left:76.45pt;margin-top:786.85pt;height:10.3pt;width:51.6pt;mso-position-horizontal-relative:page;mso-position-vertical-relative:page;mso-wrap-style:none;z-index:-251656192;mso-width-relative:page;mso-height-relative:page;" filled="f" stroked="f" coordsize="21600,21600" o:gfxdata="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DvxDbYAAAADQEAAA8AAAAAAAAAAQAgAAAAIgAAAGRycy9kb3ducmV2LnhtbFBLAQIU&#10;ABQAAAAIAIdO4kD/twu1ugEAAJUDAAAOAAAAAAAAAAEAIAAAACcBAABkcnMvZTJvRG9jLnhtbFBL&#10;BQYAAAAABgAGAFkBAABTBQAAAAA=&#10;">
          <v:path/>
          <v:fill on="f" focussize="0,0"/>
          <v:stroke on="f" joinstyle="miter"/>
          <v:imagedata o:title=""/>
          <o:lock v:ext="edit"/>
          <v:textbox inset="0mm,0mm,0mm,0mm" style="mso-fit-shape-to-text:t;">
            <w:txbxContent>
              <w:p>
                <w:pPr>
                  <w:pStyle w:val="22"/>
                  <w:rPr>
                    <w:sz w:val="30"/>
                    <w:szCs w:val="30"/>
                  </w:rPr>
                </w:pPr>
                <w:r>
                  <w:rPr>
                    <w:rFonts w:ascii="宋体" w:hAnsi="宋体" w:eastAsia="宋体" w:cs="宋体"/>
                    <w:color w:val="000000"/>
                    <w:sz w:val="30"/>
                    <w:szCs w:val="30"/>
                    <w:lang w:val="en-US" w:eastAsia="en-US" w:bidi="en-US"/>
                  </w:rPr>
                  <w:t>—</w:t>
                </w:r>
                <w:r>
                  <w:fldChar w:fldCharType="begin"/>
                </w:r>
                <w:r>
                  <w:instrText xml:space="preserve"> PAGE \* MERGEFORMAT </w:instrText>
                </w:r>
                <w:r>
                  <w:fldChar w:fldCharType="separate"/>
                </w:r>
                <w:r>
                  <w:rPr>
                    <w:rFonts w:ascii="宋体" w:hAnsi="宋体" w:eastAsia="宋体" w:cs="宋体"/>
                    <w:color w:val="000000"/>
                    <w:sz w:val="30"/>
                    <w:szCs w:val="30"/>
                  </w:rPr>
                  <w:t>#</w:t>
                </w:r>
                <w:r>
                  <w:rPr>
                    <w:rFonts w:ascii="宋体" w:hAnsi="宋体" w:eastAsia="宋体" w:cs="宋体"/>
                    <w:color w:val="000000"/>
                    <w:sz w:val="30"/>
                    <w:szCs w:val="30"/>
                  </w:rPr>
                  <w:fldChar w:fldCharType="end"/>
                </w:r>
                <w:r>
                  <w:rPr>
                    <w:rFonts w:ascii="宋体" w:hAnsi="宋体" w:eastAsia="宋体" w:cs="宋体"/>
                    <w:color w:val="000000"/>
                    <w:sz w:val="30"/>
                    <w:szCs w:val="30"/>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1" o:spid="_x0000_s2055" o:spt="202" type="#_x0000_t202" style="position:absolute;left:0pt;margin-left:462.1pt;margin-top:786.65pt;height:10.3pt;width:59.3pt;mso-position-horizontal-relative:page;mso-position-vertical-relative:page;mso-wrap-style:none;z-index:-251655168;mso-width-relative:page;mso-height-relative:page;" filled="f" stroked="f" coordsize="21600,21600" o:gfxdata="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xXh1NkAAAAOAQAADwAAAAAAAAABACAAAAAiAAAAZHJzL2Rvd25yZXYueG1sUEsBAhQA&#10;FAAAAAgAh07iQA76o+y4AQAAlwMAAA4AAAAAAAAAAQAgAAAAKAEAAGRycy9lMm9Eb2MueG1sUEsF&#10;BgAAAAAGAAYAWQEAAFIFAAAAAA==&#10;">
          <v:path/>
          <v:fill on="f" focussize="0,0"/>
          <v:stroke on="f" joinstyle="miter"/>
          <v:imagedata o:title=""/>
          <o:lock v:ext="edit"/>
          <v:textbox inset="0mm,0mm,0mm,0mm" style="mso-fit-shape-to-text:t;">
            <w:txbxContent>
              <w:p>
                <w:pPr>
                  <w:pStyle w:val="23"/>
                </w:pPr>
                <w:r>
                  <w:rPr>
                    <w:color w:val="000000"/>
                    <w:lang w:val="en-US" w:eastAsia="en-US" w:bidi="en-US"/>
                  </w:rPr>
                  <w:t>—</w:t>
                </w:r>
                <w:r>
                  <w:fldChar w:fldCharType="begin"/>
                </w:r>
                <w:r>
                  <w:instrText xml:space="preserve"> PAGE \* MERGEFORMAT </w:instrText>
                </w:r>
                <w:r>
                  <w:fldChar w:fldCharType="separate"/>
                </w:r>
                <w:r>
                  <w:rPr>
                    <w:color w:val="000000"/>
                  </w:rPr>
                  <w:t>17</w:t>
                </w:r>
                <w:r>
                  <w:rPr>
                    <w:color w:val="000000"/>
                  </w:rPr>
                  <w:fldChar w:fldCharType="end"/>
                </w:r>
                <w:r>
                  <w:rPr>
                    <w:color w:val="000000"/>
                  </w:rPr>
                  <w:t xml:space="preserve"> </w:t>
                </w:r>
                <w:r>
                  <w:rPr>
                    <w:color w:val="000000"/>
                    <w:lang w:val="en-US"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3" o:spid="_x0000_s2054" o:spt="202" type="#_x0000_t202" style="position:absolute;left:0pt;margin-left:76.15pt;margin-top:785.95pt;height:10.3pt;width:59.05pt;mso-position-horizontal-relative:page;mso-position-vertical-relative:page;mso-wrap-style:none;z-index:-251654144;mso-width-relative:page;mso-height-relative:page;" filled="f" stroked="f" coordsize="21600,21600" o:gfxdata="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g3hc9gAAAANAQAADwAAAAAAAAABACAAAAAiAAAAZHJzL2Rvd25yZXYueG1sUEsB&#10;AhQAFAAAAAgAh07iQDlZZLe8AQAAlwMAAA4AAAAAAAAAAQAgAAAAJwEAAGRycy9lMm9Eb2MueG1s&#10;UEsFBgAAAAAGAAYAWQEAAFUFAAAAAA==&#10;">
          <v:path/>
          <v:fill on="f" focussize="0,0"/>
          <v:stroke on="f" joinstyle="miter"/>
          <v:imagedata o:title=""/>
          <o:lock v:ext="edit"/>
          <v:textbox inset="0mm,0mm,0mm,0mm" style="mso-fit-shape-to-text:t;">
            <w:txbxContent>
              <w:p>
                <w:pPr>
                  <w:pStyle w:val="23"/>
                </w:pPr>
                <w:r>
                  <w:rPr>
                    <w:color w:val="000000"/>
                    <w:lang w:val="en-US" w:eastAsia="en-US" w:bidi="en-US"/>
                  </w:rPr>
                  <w:t>—</w:t>
                </w:r>
                <w:r>
                  <w:fldChar w:fldCharType="begin"/>
                </w:r>
                <w:r>
                  <w:instrText xml:space="preserve"> PAGE \* MERGEFORMAT </w:instrText>
                </w:r>
                <w:r>
                  <w:fldChar w:fldCharType="separate"/>
                </w:r>
                <w:r>
                  <w:rPr>
                    <w:color w:val="000000"/>
                  </w:rPr>
                  <w:t>#</w:t>
                </w:r>
                <w:r>
                  <w:rPr>
                    <w:color w:val="000000"/>
                  </w:rPr>
                  <w:fldChar w:fldCharType="end"/>
                </w:r>
                <w:r>
                  <w:rPr>
                    <w:color w:val="000000"/>
                  </w:rPr>
                  <w:t xml:space="preserve"> </w:t>
                </w:r>
                <w:r>
                  <w:rPr>
                    <w:color w:val="000000"/>
                    <w:lang w:val="en-US" w:eastAsia="en-US" w:bidi="en-US"/>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5" o:spid="_x0000_s2053" o:spt="202" type="#_x0000_t202" style="position:absolute;left:0pt;margin-left:462.15pt;margin-top:786.5pt;height:10.3pt;width:59.3pt;mso-position-horizontal-relative:page;mso-position-vertical-relative:page;mso-wrap-style:none;z-index:-251653120;mso-width-relative:page;mso-height-relative:page;" filled="f" stroked="f" coordsize="21600,21600" o:gfxdata="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FpuqjZAAAADgEAAA8AAAAAAAAAAQAgAAAAIgAAAGRycy9kb3ducmV2LnhtbFBLAQIU&#10;ABQAAAAIAIdO4kArZV0kuQEAAJcDAAAOAAAAAAAAAAEAIAAAACgBAABkcnMvZTJvRG9jLnhtbFBL&#10;BQYAAAAABgAGAFkBAABTBQAAAAA=&#10;">
          <v:path/>
          <v:fill on="f" focussize="0,0"/>
          <v:stroke on="f" joinstyle="miter"/>
          <v:imagedata o:title=""/>
          <o:lock v:ext="edit"/>
          <v:textbox inset="0mm,0mm,0mm,0mm" style="mso-fit-shape-to-text:t;">
            <w:txbxContent>
              <w:p>
                <w:pPr>
                  <w:pStyle w:val="23"/>
                </w:pPr>
                <w:r>
                  <w:rPr>
                    <w:color w:val="000000"/>
                    <w:lang w:val="en-US" w:eastAsia="en-US" w:bidi="en-US"/>
                  </w:rPr>
                  <w:t>—</w:t>
                </w:r>
                <w:r>
                  <w:fldChar w:fldCharType="begin"/>
                </w:r>
                <w:r>
                  <w:instrText xml:space="preserve"> PAGE \* MERGEFORMAT </w:instrText>
                </w:r>
                <w:r>
                  <w:fldChar w:fldCharType="separate"/>
                </w:r>
                <w:r>
                  <w:rPr>
                    <w:color w:val="000000"/>
                  </w:rPr>
                  <w:t>24</w:t>
                </w:r>
                <w:r>
                  <w:rPr>
                    <w:color w:val="000000"/>
                  </w:rPr>
                  <w:fldChar w:fldCharType="end"/>
                </w:r>
                <w:r>
                  <w:rPr>
                    <w:color w:val="000000"/>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7" o:spid="_x0000_s2052" o:spt="202" type="#_x0000_t202" style="position:absolute;left:0pt;margin-left:76.1pt;margin-top:790.85pt;height:10.3pt;width:59.05pt;mso-position-horizontal-relative:page;mso-position-vertical-relative:page;mso-wrap-style:none;z-index:-251653120;mso-width-relative:page;mso-height-relative:page;" filled="f" stroked="f" coordsize="21600,21600" o:gfxdata="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TEUO1wAAAA0BAAAPAAAAAAAAAAEAIAAAACIAAABkcnMvZG93bnJldi54bWxQSwEC&#10;FAAUAAAACACHTuJAHMaaf7wBAACXAwAADgAAAAAAAAABACAAAAAmAQAAZHJzL2Uyb0RvYy54bWxQ&#10;SwUGAAAAAAYABgBZAQAAVAUAAAAA&#10;">
          <v:path/>
          <v:fill on="f" focussize="0,0"/>
          <v:stroke on="f" joinstyle="miter"/>
          <v:imagedata o:title=""/>
          <o:lock v:ext="edit"/>
          <v:textbox inset="0mm,0mm,0mm,0mm" style="mso-fit-shape-to-text:t;">
            <w:txbxContent>
              <w:p>
                <w:pPr>
                  <w:pStyle w:val="23"/>
                </w:pPr>
                <w:r>
                  <w:rPr>
                    <w:color w:val="000000"/>
                    <w:lang w:val="en-US" w:eastAsia="en-US" w:bidi="en-US"/>
                  </w:rPr>
                  <w:t>—</w:t>
                </w:r>
                <w:r>
                  <w:fldChar w:fldCharType="begin"/>
                </w:r>
                <w:r>
                  <w:instrText xml:space="preserve"> PAGE \* MERGEFORMAT </w:instrText>
                </w:r>
                <w:r>
                  <w:fldChar w:fldCharType="separate"/>
                </w:r>
                <w:r>
                  <w:rPr>
                    <w:color w:val="000000"/>
                  </w:rPr>
                  <w:t>#</w:t>
                </w:r>
                <w:r>
                  <w:rPr>
                    <w:color w:val="000000"/>
                  </w:rPr>
                  <w:fldChar w:fldCharType="end"/>
                </w:r>
                <w:r>
                  <w:rPr>
                    <w:color w:val="000000"/>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9" o:spid="_x0000_s2051" o:spt="202" type="#_x0000_t202" style="position:absolute;left:0pt;margin-left:459.15pt;margin-top:791.7pt;height:10.3pt;width:59.3pt;mso-position-horizontal-relative:page;mso-position-vertical-relative:page;mso-wrap-style:none;z-index:-251652096;mso-width-relative:page;mso-height-relative:page;" filled="f" stroked="f" coordsize="21600,21600" o:gfxdata="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h1VtdkAAAAOAQAADwAAAAAAAAABACAAAAAiAAAAZHJzL2Rvd25yZXYueG1sUEsBAhQA&#10;FAAAAAgAh07iQAXCL6a4AQAAlwMAAA4AAAAAAAAAAQAgAAAAKAEAAGRycy9lMm9Eb2MueG1sUEsF&#10;BgAAAAAGAAYAWQEAAFIFAAAAAA==&#10;">
          <v:path/>
          <v:fill on="f" focussize="0,0"/>
          <v:stroke on="f" joinstyle="miter"/>
          <v:imagedata o:title=""/>
          <o:lock v:ext="edit"/>
          <v:textbox inset="0mm,0mm,0mm,0mm" style="mso-fit-shape-to-text:t;">
            <w:txbxContent>
              <w:p>
                <w:pPr>
                  <w:pStyle w:val="23"/>
                </w:pPr>
                <w:r>
                  <w:rPr>
                    <w:color w:val="000000"/>
                    <w:lang w:val="en-US" w:eastAsia="en-US" w:bidi="en-US"/>
                  </w:rPr>
                  <w:t>—</w:t>
                </w:r>
                <w:r>
                  <w:fldChar w:fldCharType="begin"/>
                </w:r>
                <w:r>
                  <w:instrText xml:space="preserve"> PAGE \* MERGEFORMAT </w:instrText>
                </w:r>
                <w:r>
                  <w:fldChar w:fldCharType="separate"/>
                </w:r>
                <w:r>
                  <w:rPr>
                    <w:color w:val="000000"/>
                  </w:rPr>
                  <w:t>32</w:t>
                </w:r>
                <w:r>
                  <w:rPr>
                    <w:color w:val="000000"/>
                  </w:rPr>
                  <w:fldChar w:fldCharType="end"/>
                </w:r>
                <w:r>
                  <w:rPr>
                    <w:color w:val="000000"/>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21" o:spid="_x0000_s2050" o:spt="202" type="#_x0000_t202" style="position:absolute;left:0pt;margin-left:76.95pt;margin-top:791.55pt;height:10.3pt;width:59.05pt;mso-position-horizontal-relative:page;mso-position-vertical-relative:page;mso-wrap-style:none;z-index:-251651072;mso-width-relative:page;mso-height-relative:page;" filled="f" stroked="f" coordsize="21600,21600" o:gfxdata="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ro1ptgAAAANAQAADwAAAAAAAAABACAAAAAiAAAAZHJzL2Rvd25yZXYueG1sUEsB&#10;AhQAFAAAAAgAh07iQFGKtgm8AQAAlwMAAA4AAAAAAAAAAQAgAAAAJwEAAGRycy9lMm9Eb2MueG1s&#10;UEsFBgAAAAAGAAYAWQEAAFUFAAAAAA==&#10;">
          <v:path/>
          <v:fill on="f" focussize="0,0"/>
          <v:stroke on="f" joinstyle="miter"/>
          <v:imagedata o:title=""/>
          <o:lock v:ext="edit"/>
          <v:textbox inset="0mm,0mm,0mm,0mm" style="mso-fit-shape-to-text:t;">
            <w:txbxContent>
              <w:p>
                <w:pPr>
                  <w:pStyle w:val="23"/>
                </w:pPr>
                <w:r>
                  <w:rPr>
                    <w:color w:val="000000"/>
                    <w:lang w:val="en-US" w:eastAsia="en-US" w:bidi="en-US"/>
                  </w:rPr>
                  <w:t>—</w:t>
                </w:r>
                <w:r>
                  <w:fldChar w:fldCharType="begin"/>
                </w:r>
                <w:r>
                  <w:instrText xml:space="preserve"> PAGE \* MERGEFORMAT </w:instrText>
                </w:r>
                <w:r>
                  <w:fldChar w:fldCharType="separate"/>
                </w:r>
                <w:r>
                  <w:rPr>
                    <w:color w:val="000000"/>
                  </w:rPr>
                  <w:t>#</w:t>
                </w:r>
                <w:r>
                  <w:rPr>
                    <w:color w:val="000000"/>
                  </w:rPr>
                  <w:fldChar w:fldCharType="end"/>
                </w:r>
                <w:r>
                  <w:rPr>
                    <w:color w:val="000000"/>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文本框 9" o:spid="_x0000_s2049" o:spt="202" type="#_x0000_t202" style="position:absolute;left:0pt;margin-left:291.05pt;margin-top:771.15pt;height:11pt;width:13.15pt;mso-position-horizontal-relative:page;mso-position-vertical-relative:page;z-index:-251650048;mso-width-relative:page;mso-height-relative:page;" filled="f" stroked="f" coordsize="21600,21600"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h3ITB2wAAAA0BAAAPAAAAAAAAAAEAIAAAACIAAABkcnMvZG93bnJldi54&#10;bWxQSwECFAAUAAAACACHTuJA9o+yu74BAACCAwAADgAAAAAAAAABACAAAAAqAQAAZHJzL2Uyb0Rv&#10;Yy54bWxQSwUGAAAAAAYABgBZAQAAWgUAAAAA&#1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37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singleLevel"/>
    <w:tmpl w:val="9C8AC8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B0F1ACD9"/>
    <w:multiLevelType w:val="singleLevel"/>
    <w:tmpl w:val="B0F1ACD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2">
    <w:nsid w:val="B5E306ED"/>
    <w:multiLevelType w:val="singleLevel"/>
    <w:tmpl w:val="B5E306ED"/>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lang w:val="zh-TW" w:eastAsia="zh-TW" w:bidi="zh-TW"/>
      </w:rPr>
    </w:lvl>
  </w:abstractNum>
  <w:abstractNum w:abstractNumId="3">
    <w:nsid w:val="C8879AEF"/>
    <w:multiLevelType w:val="singleLevel"/>
    <w:tmpl w:val="C8879A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4">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5">
    <w:nsid w:val="D7F9FE59"/>
    <w:multiLevelType w:val="singleLevel"/>
    <w:tmpl w:val="D7F9FE5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6">
    <w:nsid w:val="DCBA6B53"/>
    <w:multiLevelType w:val="singleLevel"/>
    <w:tmpl w:val="DCBA6B5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7">
    <w:nsid w:val="F4B5D9F5"/>
    <w:multiLevelType w:val="singleLevel"/>
    <w:tmpl w:val="F4B5D9F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8">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9">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0">
    <w:nsid w:val="03D62ECE"/>
    <w:multiLevelType w:val="singleLevel"/>
    <w:tmpl w:val="03D62ECE"/>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1">
    <w:nsid w:val="0E640482"/>
    <w:multiLevelType w:val="singleLevel"/>
    <w:tmpl w:val="0E6404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2">
    <w:nsid w:val="2470EC97"/>
    <w:multiLevelType w:val="singleLevel"/>
    <w:tmpl w:val="2470EC9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3">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4">
    <w:nsid w:val="2A8F537B"/>
    <w:multiLevelType w:val="singleLevel"/>
    <w:tmpl w:val="2A8F537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CN" w:eastAsia="zh-CN" w:bidi="zh-CN"/>
      </w:rPr>
    </w:lvl>
  </w:abstractNum>
  <w:abstractNum w:abstractNumId="15">
    <w:nsid w:val="46A08BB8"/>
    <w:multiLevelType w:val="singleLevel"/>
    <w:tmpl w:val="46A08BB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6">
    <w:nsid w:val="4C1BAE26"/>
    <w:multiLevelType w:val="singleLevel"/>
    <w:tmpl w:val="4C1BAE2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7">
    <w:nsid w:val="4D4DC07F"/>
    <w:multiLevelType w:val="singleLevel"/>
    <w:tmpl w:val="4D4DC07F"/>
    <w:lvl w:ilvl="0" w:tentative="0">
      <w:start w:val="19"/>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8">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9">
    <w:nsid w:val="5A241D34"/>
    <w:multiLevelType w:val="singleLevel"/>
    <w:tmpl w:val="5A241D3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0">
    <w:nsid w:val="60382F6E"/>
    <w:multiLevelType w:val="singleLevel"/>
    <w:tmpl w:val="60382F6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21">
    <w:nsid w:val="72183CF9"/>
    <w:multiLevelType w:val="singleLevel"/>
    <w:tmpl w:val="72183CF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8"/>
  </w:num>
  <w:num w:numId="2">
    <w:abstractNumId w:val="4"/>
  </w:num>
  <w:num w:numId="3">
    <w:abstractNumId w:val="18"/>
  </w:num>
  <w:num w:numId="4">
    <w:abstractNumId w:val="2"/>
  </w:num>
  <w:num w:numId="5">
    <w:abstractNumId w:val="10"/>
  </w:num>
  <w:num w:numId="6">
    <w:abstractNumId w:val="13"/>
  </w:num>
  <w:num w:numId="7">
    <w:abstractNumId w:val="21"/>
  </w:num>
  <w:num w:numId="8">
    <w:abstractNumId w:val="9"/>
  </w:num>
  <w:num w:numId="9">
    <w:abstractNumId w:val="14"/>
  </w:num>
  <w:num w:numId="10">
    <w:abstractNumId w:val="19"/>
  </w:num>
  <w:num w:numId="11">
    <w:abstractNumId w:val="3"/>
  </w:num>
  <w:num w:numId="12">
    <w:abstractNumId w:val="17"/>
  </w:num>
  <w:num w:numId="13">
    <w:abstractNumId w:val="7"/>
  </w:num>
  <w:num w:numId="14">
    <w:abstractNumId w:val="12"/>
  </w:num>
  <w:num w:numId="15">
    <w:abstractNumId w:val="6"/>
  </w:num>
  <w:num w:numId="16">
    <w:abstractNumId w:val="5"/>
  </w:num>
  <w:num w:numId="17">
    <w:abstractNumId w:val="0"/>
  </w:num>
  <w:num w:numId="18">
    <w:abstractNumId w:val="16"/>
  </w:num>
  <w:num w:numId="19">
    <w:abstractNumId w:val="20"/>
  </w:num>
  <w:num w:numId="20">
    <w:abstractNumId w:val="11"/>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2"/>
  </w:compat>
  <w:docVars>
    <w:docVar w:name="commondata" w:val="eyJoZGlkIjoiYjFkMTk1YzdkZjA0ZGJhNzhiY2UxOTQxNzY5ZjU0ODcifQ=="/>
  </w:docVars>
  <w:rsids>
    <w:rsidRoot w:val="00F44A0E"/>
    <w:rsid w:val="00046C2A"/>
    <w:rsid w:val="000822A1"/>
    <w:rsid w:val="000A0732"/>
    <w:rsid w:val="001A34A8"/>
    <w:rsid w:val="001D0E72"/>
    <w:rsid w:val="003303F3"/>
    <w:rsid w:val="003419CC"/>
    <w:rsid w:val="00440FB4"/>
    <w:rsid w:val="004964E6"/>
    <w:rsid w:val="004C16DC"/>
    <w:rsid w:val="006303CF"/>
    <w:rsid w:val="006F316A"/>
    <w:rsid w:val="0090582E"/>
    <w:rsid w:val="00AD7EF3"/>
    <w:rsid w:val="00B80211"/>
    <w:rsid w:val="00C675AF"/>
    <w:rsid w:val="00EE1F83"/>
    <w:rsid w:val="00F44A0E"/>
    <w:rsid w:val="0D855EBE"/>
    <w:rsid w:val="114943A7"/>
    <w:rsid w:val="1F4A09EC"/>
    <w:rsid w:val="2F3C72C8"/>
    <w:rsid w:val="30325203"/>
    <w:rsid w:val="315F59F9"/>
    <w:rsid w:val="397B7E80"/>
    <w:rsid w:val="5168192F"/>
    <w:rsid w:val="5BC81A3D"/>
    <w:rsid w:val="66ED2CCE"/>
    <w:rsid w:val="68777DE6"/>
    <w:rsid w:val="68A526CC"/>
    <w:rsid w:val="704A3BAA"/>
    <w:rsid w:val="720156CD"/>
    <w:rsid w:val="7FE3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2"/>
    <w:basedOn w:val="1"/>
    <w:next w:val="1"/>
    <w:qFormat/>
    <w:uiPriority w:val="0"/>
    <w:pPr>
      <w:keepNext/>
      <w:keepLines/>
      <w:spacing w:before="260" w:after="260" w:line="412" w:lineRule="auto"/>
      <w:outlineLvl w:val="1"/>
    </w:pPr>
    <w:rPr>
      <w:rFonts w:ascii="Arial" w:hAnsi="Arial"/>
      <w:sz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2"/>
      <w:szCs w:val="32"/>
    </w:rPr>
  </w:style>
  <w:style w:type="paragraph" w:styleId="4">
    <w:name w:val="Date"/>
    <w:basedOn w:val="1"/>
    <w:next w:val="1"/>
    <w:link w:val="26"/>
    <w:qFormat/>
    <w:uiPriority w:val="0"/>
    <w:pPr>
      <w:ind w:left="100" w:leftChars="2500"/>
    </w:pPr>
  </w:style>
  <w:style w:type="paragraph" w:styleId="5">
    <w:name w:val="footer"/>
    <w:basedOn w:val="1"/>
    <w:link w:val="25"/>
    <w:uiPriority w:val="0"/>
    <w:pPr>
      <w:tabs>
        <w:tab w:val="center" w:pos="4153"/>
        <w:tab w:val="right" w:pos="8306"/>
      </w:tabs>
      <w:snapToGrid w:val="0"/>
    </w:pPr>
    <w:rPr>
      <w:sz w:val="18"/>
      <w:szCs w:val="18"/>
    </w:rPr>
  </w:style>
  <w:style w:type="paragraph" w:styleId="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themeColor="hyperlink"/>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before="158"/>
      <w:jc w:val="center"/>
    </w:pPr>
  </w:style>
  <w:style w:type="character" w:customStyle="1" w:styleId="13">
    <w:name w:val="NormalCharacter"/>
    <w:qFormat/>
    <w:uiPriority w:val="0"/>
    <w:rPr>
      <w:rFonts w:ascii="Calibri" w:hAnsi="Calibri" w:eastAsia="宋体" w:cs="Times New Roman"/>
    </w:rPr>
  </w:style>
  <w:style w:type="paragraph" w:customStyle="1" w:styleId="14">
    <w:name w:val="Heading #1|1"/>
    <w:basedOn w:val="1"/>
    <w:qFormat/>
    <w:uiPriority w:val="0"/>
    <w:pPr>
      <w:spacing w:after="340" w:line="694" w:lineRule="exact"/>
      <w:jc w:val="center"/>
      <w:outlineLvl w:val="0"/>
    </w:pPr>
    <w:rPr>
      <w:rFonts w:ascii="宋体" w:hAnsi="宋体" w:eastAsia="宋体" w:cs="宋体"/>
      <w:sz w:val="44"/>
      <w:szCs w:val="44"/>
      <w:lang w:val="zh-TW" w:eastAsia="zh-TW" w:bidi="zh-TW"/>
    </w:rPr>
  </w:style>
  <w:style w:type="paragraph" w:customStyle="1" w:styleId="15">
    <w:name w:val="Body text|2"/>
    <w:basedOn w:val="1"/>
    <w:qFormat/>
    <w:uiPriority w:val="0"/>
    <w:pPr>
      <w:spacing w:line="562" w:lineRule="exact"/>
      <w:ind w:firstLine="640"/>
    </w:pPr>
    <w:rPr>
      <w:rFonts w:ascii="宋体" w:hAnsi="宋体" w:eastAsia="宋体" w:cs="宋体"/>
      <w:sz w:val="28"/>
      <w:szCs w:val="28"/>
      <w:lang w:val="zh-TW" w:eastAsia="zh-TW" w:bidi="zh-TW"/>
    </w:rPr>
  </w:style>
  <w:style w:type="paragraph" w:customStyle="1" w:styleId="16">
    <w:name w:val="Body text|1"/>
    <w:basedOn w:val="1"/>
    <w:link w:val="19"/>
    <w:qFormat/>
    <w:uiPriority w:val="0"/>
    <w:pPr>
      <w:spacing w:line="418" w:lineRule="auto"/>
      <w:ind w:firstLine="400"/>
    </w:pPr>
    <w:rPr>
      <w:rFonts w:ascii="宋体" w:hAnsi="宋体" w:eastAsia="宋体" w:cs="宋体"/>
      <w:sz w:val="28"/>
      <w:szCs w:val="28"/>
      <w:lang w:val="zh-TW" w:eastAsia="zh-TW" w:bidi="zh-TW"/>
    </w:rPr>
  </w:style>
  <w:style w:type="character" w:customStyle="1" w:styleId="17">
    <w:name w:val="Body text|3_"/>
    <w:basedOn w:val="8"/>
    <w:link w:val="18"/>
    <w:qFormat/>
    <w:uiPriority w:val="0"/>
    <w:rPr>
      <w:rFonts w:ascii="宋体" w:hAnsi="宋体" w:eastAsia="宋体" w:cs="宋体"/>
      <w:sz w:val="32"/>
      <w:szCs w:val="32"/>
      <w:u w:val="none"/>
      <w:shd w:val="clear" w:color="auto" w:fill="auto"/>
      <w:lang w:val="zh-TW" w:eastAsia="zh-TW" w:bidi="zh-TW"/>
    </w:rPr>
  </w:style>
  <w:style w:type="paragraph" w:customStyle="1" w:styleId="18">
    <w:name w:val="Body text|3"/>
    <w:basedOn w:val="1"/>
    <w:link w:val="17"/>
    <w:qFormat/>
    <w:uiPriority w:val="0"/>
    <w:pPr>
      <w:spacing w:after="160"/>
      <w:ind w:left="320" w:firstLine="320"/>
    </w:pPr>
    <w:rPr>
      <w:rFonts w:ascii="宋体" w:hAnsi="宋体" w:eastAsia="宋体" w:cs="宋体"/>
      <w:sz w:val="32"/>
      <w:szCs w:val="32"/>
      <w:lang w:val="zh-TW" w:eastAsia="zh-TW" w:bidi="zh-TW"/>
    </w:rPr>
  </w:style>
  <w:style w:type="character" w:customStyle="1" w:styleId="19">
    <w:name w:val="Body text|1_"/>
    <w:basedOn w:val="8"/>
    <w:link w:val="16"/>
    <w:qFormat/>
    <w:uiPriority w:val="0"/>
    <w:rPr>
      <w:rFonts w:ascii="宋体" w:hAnsi="宋体" w:eastAsia="宋体" w:cs="宋体"/>
      <w:sz w:val="28"/>
      <w:szCs w:val="28"/>
      <w:u w:val="none"/>
      <w:shd w:val="clear" w:color="auto" w:fill="auto"/>
      <w:lang w:val="zh-TW" w:eastAsia="zh-TW" w:bidi="zh-TW"/>
    </w:rPr>
  </w:style>
  <w:style w:type="paragraph" w:customStyle="1" w:styleId="20">
    <w:name w:val="Body text|4"/>
    <w:basedOn w:val="1"/>
    <w:qFormat/>
    <w:uiPriority w:val="0"/>
    <w:pPr>
      <w:spacing w:line="696" w:lineRule="exact"/>
      <w:jc w:val="center"/>
    </w:pPr>
    <w:rPr>
      <w:rFonts w:ascii="宋体" w:hAnsi="宋体" w:eastAsia="宋体" w:cs="宋体"/>
      <w:sz w:val="40"/>
      <w:szCs w:val="40"/>
      <w:lang w:val="zh-TW" w:eastAsia="zh-TW" w:bidi="zh-TW"/>
    </w:rPr>
  </w:style>
  <w:style w:type="paragraph" w:customStyle="1" w:styleId="21">
    <w:name w:val="Picture caption|1"/>
    <w:basedOn w:val="1"/>
    <w:uiPriority w:val="0"/>
    <w:rPr>
      <w:rFonts w:ascii="宋体" w:hAnsi="宋体" w:eastAsia="宋体" w:cs="宋体"/>
      <w:sz w:val="28"/>
      <w:szCs w:val="28"/>
      <w:lang w:val="zh-TW" w:eastAsia="zh-TW" w:bidi="zh-TW"/>
    </w:rPr>
  </w:style>
  <w:style w:type="paragraph" w:customStyle="1" w:styleId="22">
    <w:name w:val="Header or footer|2"/>
    <w:basedOn w:val="1"/>
    <w:qFormat/>
    <w:uiPriority w:val="0"/>
    <w:rPr>
      <w:sz w:val="20"/>
      <w:szCs w:val="20"/>
      <w:lang w:val="zh-TW" w:eastAsia="zh-TW" w:bidi="zh-TW"/>
    </w:rPr>
  </w:style>
  <w:style w:type="paragraph" w:customStyle="1" w:styleId="23">
    <w:name w:val="Header or footer|1"/>
    <w:basedOn w:val="1"/>
    <w:qFormat/>
    <w:uiPriority w:val="0"/>
    <w:rPr>
      <w:rFonts w:ascii="宋体" w:hAnsi="宋体" w:eastAsia="宋体" w:cs="宋体"/>
      <w:sz w:val="30"/>
      <w:szCs w:val="30"/>
      <w:lang w:val="zh-TW" w:eastAsia="zh-TW" w:bidi="zh-TW"/>
    </w:rPr>
  </w:style>
  <w:style w:type="character" w:customStyle="1" w:styleId="24">
    <w:name w:val="页眉 Char"/>
    <w:basedOn w:val="8"/>
    <w:link w:val="6"/>
    <w:qFormat/>
    <w:uiPriority w:val="0"/>
    <w:rPr>
      <w:rFonts w:eastAsia="Times New Roman"/>
      <w:sz w:val="18"/>
      <w:szCs w:val="18"/>
      <w:lang w:val="zh-CN" w:bidi="zh-CN"/>
    </w:rPr>
  </w:style>
  <w:style w:type="character" w:customStyle="1" w:styleId="25">
    <w:name w:val="页脚 Char"/>
    <w:basedOn w:val="8"/>
    <w:link w:val="5"/>
    <w:qFormat/>
    <w:uiPriority w:val="0"/>
    <w:rPr>
      <w:rFonts w:eastAsia="Times New Roman"/>
      <w:sz w:val="18"/>
      <w:szCs w:val="18"/>
      <w:lang w:val="zh-CN" w:bidi="zh-CN"/>
    </w:rPr>
  </w:style>
  <w:style w:type="character" w:customStyle="1" w:styleId="26">
    <w:name w:val="日期 Char"/>
    <w:basedOn w:val="8"/>
    <w:link w:val="4"/>
    <w:uiPriority w:val="0"/>
    <w:rPr>
      <w:rFonts w:eastAsia="Times New Roman"/>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F0318-C0CE-47B6-817B-1C82CCFCAEC0}">
  <ds:schemaRefs/>
</ds:datastoreItem>
</file>

<file path=docProps/app.xml><?xml version="1.0" encoding="utf-8"?>
<Properties xmlns="http://schemas.openxmlformats.org/officeDocument/2006/extended-properties" xmlns:vt="http://schemas.openxmlformats.org/officeDocument/2006/docPropsVTypes">
  <Template>Normal</Template>
  <Pages>37</Pages>
  <Words>14515</Words>
  <Characters>14724</Characters>
  <Lines>109</Lines>
  <Paragraphs>30</Paragraphs>
  <TotalTime>145</TotalTime>
  <ScaleCrop>false</ScaleCrop>
  <LinksUpToDate>false</LinksUpToDate>
  <CharactersWithSpaces>15004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2021-03-15T11:15:00Z</dcterms:created>
  <dc:creator>罗栋纬</dc:creator>
  <cp:lastModifiedBy>Administrator</cp:lastModifiedBy>
  <cp:lastPrinted>2023-02-15T00:30:07Z</cp:lastPrinted>
  <dcterms:modified xsi:type="dcterms:W3CDTF">2023-02-15T00:46:06Z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2010</vt:lpwstr>
  </property>
  <property fmtid="{D5CDD505-2E9C-101B-9397-08002B2CF9AE}" pid="4" name="LastSaved">
    <vt:filetime>2021-03-15T00:00:00Z</vt:filetime>
  </property>
  <property fmtid="{D5CDD505-2E9C-101B-9397-08002B2CF9AE}" pid="5" name="KSOProductBuildVer">
    <vt:lpwstr>2052-11.1.0.12980</vt:lpwstr>
  </property>
  <property fmtid="{D5CDD505-2E9C-101B-9397-08002B2CF9AE}" pid="6" name="ICV">
    <vt:lpwstr>CBFB2ABC141348C0A02CCCB5CB3A50ED</vt:lpwstr>
  </property>
</Properties>
</file>