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thinThickMediumGap" w:color="FF0000" w:sz="18" w:space="1"/>
        </w:pBdr>
        <w:tabs>
          <w:tab w:val="left" w:pos="7600"/>
        </w:tabs>
        <w:spacing w:line="800" w:lineRule="exact"/>
        <w:jc w:val="center"/>
        <w:rPr>
          <w:rStyle w:val="7"/>
          <w:rFonts w:ascii="方正小标宋简体" w:eastAsia="方正小标宋简体"/>
          <w:b/>
          <w:color w:val="FF0000"/>
          <w:w w:val="75"/>
          <w:sz w:val="68"/>
          <w:szCs w:val="68"/>
        </w:rPr>
      </w:pPr>
      <w:r>
        <w:rPr>
          <w:rStyle w:val="7"/>
          <w:rFonts w:ascii="方正小标宋简体" w:eastAsia="方正小标宋简体"/>
          <w:b/>
          <w:color w:val="FF0000"/>
          <w:w w:val="75"/>
          <w:sz w:val="68"/>
          <w:szCs w:val="68"/>
        </w:rPr>
        <w:t>共青团湖南理工职业技术学院委员会</w:t>
      </w:r>
    </w:p>
    <w:p>
      <w:pPr>
        <w:spacing w:line="300" w:lineRule="exact"/>
        <w:jc w:val="center"/>
        <w:rPr>
          <w:rStyle w:val="7"/>
        </w:rPr>
      </w:pPr>
    </w:p>
    <w:p>
      <w:pPr>
        <w:jc w:val="center"/>
        <w:rPr>
          <w:rFonts w:hint="eastAsia" w:ascii="仿宋_GB2312" w:hAnsi="仿宋" w:eastAsia="仿宋_GB2312" w:cs="仿宋"/>
          <w:sz w:val="30"/>
          <w:szCs w:val="30"/>
        </w:rPr>
      </w:pPr>
      <w:r>
        <w:rPr>
          <w:rFonts w:hint="eastAsia" w:ascii="仿宋_GB2312" w:hAnsi="仿宋" w:eastAsia="仿宋_GB2312" w:cs="仿宋"/>
          <w:sz w:val="30"/>
          <w:szCs w:val="30"/>
        </w:rPr>
        <w:t>湘理职院团[202</w:t>
      </w:r>
      <w:r>
        <w:rPr>
          <w:rFonts w:hint="eastAsia" w:ascii="仿宋_GB2312" w:hAnsi="仿宋" w:eastAsia="仿宋_GB2312" w:cs="仿宋"/>
          <w:sz w:val="30"/>
          <w:szCs w:val="30"/>
          <w:lang w:val="en-US" w:eastAsia="zh-CN"/>
        </w:rPr>
        <w:t>1</w:t>
      </w:r>
      <w:r>
        <w:rPr>
          <w:rFonts w:hint="eastAsia" w:ascii="仿宋_GB2312" w:hAnsi="仿宋" w:eastAsia="仿宋_GB2312" w:cs="仿宋"/>
          <w:sz w:val="30"/>
          <w:szCs w:val="30"/>
        </w:rPr>
        <w:t>]</w:t>
      </w:r>
      <w:r>
        <w:rPr>
          <w:rFonts w:hint="eastAsia" w:ascii="仿宋_GB2312" w:hAnsi="仿宋" w:eastAsia="仿宋_GB2312" w:cs="仿宋"/>
          <w:sz w:val="30"/>
          <w:szCs w:val="30"/>
          <w:lang w:val="en-US" w:eastAsia="zh-CN"/>
        </w:rPr>
        <w:t>17</w:t>
      </w:r>
      <w:r>
        <w:rPr>
          <w:rFonts w:hint="eastAsia" w:ascii="仿宋_GB2312" w:hAnsi="仿宋" w:eastAsia="仿宋_GB2312" w:cs="仿宋"/>
          <w:sz w:val="30"/>
          <w:szCs w:val="30"/>
        </w:rPr>
        <w:t>号</w:t>
      </w:r>
    </w:p>
    <w:p>
      <w:pPr>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关于开展二〇二</w:t>
      </w:r>
      <w:r>
        <w:rPr>
          <w:rFonts w:hint="eastAsia" w:ascii="方正小标宋简体" w:hAnsi="宋体" w:eastAsia="方正小标宋简体" w:cs="宋体"/>
          <w:sz w:val="44"/>
          <w:szCs w:val="44"/>
          <w:lang w:val="en-US" w:eastAsia="zh-CN"/>
        </w:rPr>
        <w:t>一</w:t>
      </w:r>
      <w:r>
        <w:rPr>
          <w:rFonts w:hint="eastAsia" w:ascii="方正小标宋简体" w:hAnsi="宋体" w:eastAsia="方正小标宋简体" w:cs="宋体"/>
          <w:sz w:val="44"/>
          <w:szCs w:val="44"/>
        </w:rPr>
        <w:t>年</w:t>
      </w:r>
      <w:r>
        <w:rPr>
          <w:rFonts w:hint="eastAsia" w:ascii="方正小标宋简体" w:hAnsi="宋体" w:eastAsia="方正小标宋简体" w:cs="宋体"/>
          <w:sz w:val="44"/>
          <w:szCs w:val="44"/>
          <w:lang w:val="en-US" w:eastAsia="zh-CN"/>
        </w:rPr>
        <w:t>下</w:t>
      </w:r>
      <w:r>
        <w:rPr>
          <w:rFonts w:hint="eastAsia" w:ascii="方正小标宋简体" w:hAnsi="宋体" w:eastAsia="方正小标宋简体" w:cs="宋体"/>
          <w:sz w:val="44"/>
          <w:szCs w:val="44"/>
        </w:rPr>
        <w:t>学期“推优入党”</w:t>
      </w:r>
    </w:p>
    <w:p>
      <w:pPr>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工作的通知</w:t>
      </w:r>
      <w:bookmarkStart w:id="0" w:name="_GoBack"/>
      <w:bookmarkEnd w:id="0"/>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rPr>
        <w:t>各二级学院团总支：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推荐优秀共青团员作为党的发展对象，是党赋予共青团组织的一项光荣任务，也是共青团作为党的助手和后备军在工作中的具体体现，是广大进步青年健康成长的需要。为保持和增强共青团的政治性、先进性、群众性，院团委决定于近期开展“推优”工作，现将“推优”工作的具体要求通知如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0"/>
        <w:rPr>
          <w:rFonts w:hint="eastAsia" w:ascii="黑体" w:eastAsia="黑体"/>
          <w:sz w:val="32"/>
          <w:szCs w:val="32"/>
        </w:rPr>
      </w:pPr>
      <w:r>
        <w:rPr>
          <w:rFonts w:hint="eastAsia" w:ascii="黑体" w:eastAsia="黑体"/>
          <w:sz w:val="32"/>
          <w:szCs w:val="32"/>
        </w:rPr>
        <w:t>一、明确“推优”意义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推优”工作是学院党、团组织的一项极其重要的、战略性的工作，各级团组织要自觉按照党的要求培养、教育团员青年，源源不断地向党输送新鲜血液，充分发挥党的后备军作用，不断增强自身的凝聚力和战斗力。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0"/>
        <w:rPr>
          <w:rFonts w:hint="eastAsia" w:ascii="黑体" w:eastAsia="黑体"/>
          <w:sz w:val="32"/>
          <w:szCs w:val="32"/>
        </w:rPr>
      </w:pPr>
      <w:r>
        <w:rPr>
          <w:rFonts w:hint="eastAsia" w:ascii="黑体" w:eastAsia="黑体"/>
          <w:sz w:val="32"/>
          <w:szCs w:val="32"/>
        </w:rPr>
        <w:t>二、坚持质量标准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政治思想上坚持以马列主义、毛泽东思想、邓小平理论、“三个代表”重要思想、科学发展观、习近平新时代中国特色社会主义思想为指导。道德品行上自觉树立和践行社会主义核心价值观，自觉弘扬爱国主义、集体主义、社会主义精神，积极传承中华优秀传统文化、革命文化、社会主义先进文化，带头倡导良好社会风气。励志勤学、敏于求知、增长才干，自觉遵守国家法律法规，校纪校规。对拥护党的纲领，积极贯彻党的基本路线，基本具备党员条件的优秀团员，团组织应及时向党组织推荐；对于条件尚未成熟的应继续培养，防止片面追求推荐数量，降低标准。要确保推荐工作的质量，实行“三必须”、“三不准”、“三优先”的原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“三必须”指：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被推优对象必须写了入党申请书，并按时递交思想汇报；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被推优秀对象必须有1年以上的团龄；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被推荐对象必须具有优秀的品德修养，学习勤奋，学业成绩优良；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“三优先”指：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获得奖学金、英语、计算机过级考试或其他资格证书者予以优先考虑；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优秀学生干部、优秀团干、优秀团员予以优先考虑；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积极参加社会实践活动，各方面能起带头作用，思想品德好，在同学中有较好的口碑者予以优先考虑；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“三不准”指：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在校期间有补考、重修现象的，不予以推优;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有违纪现象并有处分记录的不予以推优;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缺乏集体责任感和荣誉感，不积极参加班级、系部、学院各项活动的不予以推优。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eastAsia="黑体"/>
          <w:sz w:val="32"/>
          <w:szCs w:val="32"/>
        </w:rPr>
      </w:pPr>
      <w:r>
        <w:rPr>
          <w:rFonts w:hint="eastAsia" w:ascii="黑体" w:eastAsia="黑体"/>
          <w:sz w:val="32"/>
          <w:szCs w:val="32"/>
        </w:rPr>
        <w:t>三、完善推荐程序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“推优”的程序有以下六个方面。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1、“推优”的比例一般不超过团支部团员人数的20%，每次推荐有效期为2年。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hAnsi="宋体" w:eastAsia="仿宋_GB2312"/>
          <w:sz w:val="32"/>
          <w:szCs w:val="32"/>
        </w:rPr>
        <w:t>、</w:t>
      </w:r>
      <w:r>
        <w:rPr>
          <w:rFonts w:hint="eastAsia" w:ascii="仿宋_GB2312" w:eastAsia="仿宋_GB2312"/>
          <w:sz w:val="32"/>
          <w:szCs w:val="32"/>
        </w:rPr>
        <w:t>由二级学院团总支书记牵头召开各班团支部书记会议，以团支部为单位根据申请入党团员在支部中的表现进行全面评议考察。坚持“推优”标准，在全面评议的基础上按择优原则，草拟推优名单。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w:t>
      </w:r>
      <w:r>
        <w:rPr>
          <w:rFonts w:hint="eastAsia" w:ascii="仿宋_GB2312" w:hAnsi="宋体" w:eastAsia="仿宋_GB2312"/>
          <w:sz w:val="32"/>
          <w:szCs w:val="32"/>
        </w:rPr>
        <w:t>、</w:t>
      </w:r>
      <w:r>
        <w:rPr>
          <w:rFonts w:hint="eastAsia" w:ascii="仿宋_GB2312" w:eastAsia="仿宋_GB2312"/>
          <w:sz w:val="32"/>
          <w:szCs w:val="32"/>
        </w:rPr>
        <w:t>将推优名单下发到相应各团支部进行民主测评，测评时支部团员必须到会2</w:t>
      </w:r>
      <w:r>
        <w:rPr>
          <w:rFonts w:hint="eastAsia" w:ascii="仿宋_GB2312" w:hAnsi="宋体" w:eastAsia="仿宋_GB2312"/>
          <w:sz w:val="32"/>
          <w:szCs w:val="32"/>
        </w:rPr>
        <w:t>／</w:t>
      </w:r>
      <w:r>
        <w:rPr>
          <w:rFonts w:hint="eastAsia" w:ascii="仿宋_GB2312" w:eastAsia="仿宋_GB2312"/>
          <w:sz w:val="32"/>
          <w:szCs w:val="32"/>
        </w:rPr>
        <w:t>3以上，票数达到实到会人数1</w:t>
      </w:r>
      <w:r>
        <w:rPr>
          <w:rFonts w:hint="eastAsia" w:ascii="仿宋_GB2312" w:hAnsi="宋体" w:eastAsia="仿宋_GB2312"/>
          <w:sz w:val="32"/>
          <w:szCs w:val="32"/>
        </w:rPr>
        <w:t>／</w:t>
      </w:r>
      <w:r>
        <w:rPr>
          <w:rFonts w:hint="eastAsia" w:ascii="仿宋_GB2312" w:eastAsia="仿宋_GB2312"/>
          <w:sz w:val="32"/>
          <w:szCs w:val="32"/>
        </w:rPr>
        <w:t>2者才被确定为拟推优对象。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w:t>
      </w:r>
      <w:r>
        <w:rPr>
          <w:rFonts w:hint="eastAsia" w:ascii="仿宋_GB2312" w:hAnsi="宋体" w:eastAsia="仿宋_GB2312"/>
          <w:sz w:val="32"/>
          <w:szCs w:val="32"/>
        </w:rPr>
        <w:t>、</w:t>
      </w:r>
      <w:r>
        <w:rPr>
          <w:rFonts w:hint="eastAsia" w:ascii="仿宋_GB2312" w:eastAsia="仿宋_GB2312"/>
          <w:sz w:val="32"/>
          <w:szCs w:val="32"/>
        </w:rPr>
        <w:t>各团总支将推优名单上报院团委，院团委进行评议审查后，将推优名单进行5天公示，广泛听取意见，最终确定正式推优对象。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w:t>
      </w:r>
      <w:r>
        <w:rPr>
          <w:rFonts w:hint="eastAsia" w:ascii="仿宋_GB2312" w:hAnsi="宋体" w:eastAsia="仿宋_GB2312"/>
          <w:sz w:val="32"/>
          <w:szCs w:val="32"/>
        </w:rPr>
        <w:t>、</w:t>
      </w:r>
      <w:r>
        <w:rPr>
          <w:rFonts w:hint="eastAsia" w:ascii="仿宋_GB2312" w:eastAsia="仿宋_GB2312"/>
          <w:sz w:val="32"/>
          <w:szCs w:val="32"/>
        </w:rPr>
        <w:t>下发《入党积极分子团组织推优表》，并逐级签署意见，同时各团总支将详细情况汇总报二级学院党组织。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请各二级学院团总支将《入党积极分子团组织推优表》、《入党积极分子团组织推优统计表》</w:t>
      </w:r>
      <w:r>
        <w:rPr>
          <w:rFonts w:hint="eastAsia" w:ascii="仿宋_GB2312" w:eastAsia="仿宋_GB2312"/>
          <w:color w:val="auto"/>
          <w:sz w:val="32"/>
          <w:szCs w:val="32"/>
        </w:rPr>
        <w:t>于</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日前报</w:t>
      </w:r>
      <w:r>
        <w:rPr>
          <w:rFonts w:hint="eastAsia" w:ascii="仿宋_GB2312" w:eastAsia="仿宋_GB2312"/>
          <w:sz w:val="32"/>
          <w:szCs w:val="32"/>
        </w:rPr>
        <w:t>院团委组织部2810359570@qq.com。希望各级团组织认真学习文件精神，做好此次“推优”工作。</w:t>
      </w:r>
    </w:p>
    <w:p>
      <w:pPr>
        <w:ind w:firstLine="640" w:firstLineChars="200"/>
        <w:jc w:val="right"/>
        <w:rPr>
          <w:rFonts w:hint="eastAsia" w:ascii="仿宋_GB2312" w:eastAsia="仿宋_GB2312"/>
          <w:sz w:val="32"/>
          <w:szCs w:val="32"/>
        </w:rPr>
      </w:pPr>
      <w:r>
        <w:rPr>
          <w:rFonts w:hint="eastAsia" w:ascii="仿宋_GB2312" w:eastAsia="仿宋_GB2312"/>
          <w:sz w:val="32"/>
          <w:szCs w:val="32"/>
        </w:rPr>
        <w:t>共青团湖南理工职业技术学院委员会</w:t>
      </w:r>
    </w:p>
    <w:p>
      <w:pPr>
        <w:tabs>
          <w:tab w:val="left" w:pos="7560"/>
        </w:tabs>
        <w:ind w:firstLine="5280" w:firstLineChars="1650"/>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w:t>
      </w:r>
    </w:p>
    <w:p>
      <w:pPr>
        <w:outlineLvl w:val="0"/>
        <w:rPr>
          <w:rFonts w:hint="eastAsia" w:ascii="黑体" w:eastAsia="黑体"/>
          <w:sz w:val="32"/>
          <w:szCs w:val="32"/>
        </w:rPr>
      </w:pPr>
    </w:p>
    <w:p>
      <w:pPr>
        <w:outlineLvl w:val="0"/>
        <w:rPr>
          <w:rFonts w:hint="eastAsia" w:ascii="黑体" w:eastAsia="黑体"/>
          <w:sz w:val="32"/>
          <w:szCs w:val="32"/>
        </w:rPr>
      </w:pPr>
      <w:r>
        <w:rPr>
          <w:rFonts w:hint="eastAsia" w:ascii="黑体" w:eastAsia="黑体"/>
          <w:sz w:val="32"/>
          <w:szCs w:val="32"/>
        </w:rPr>
        <w:t>附件一</w:t>
      </w:r>
    </w:p>
    <w:p>
      <w:pPr>
        <w:ind w:firstLine="643" w:firstLineChars="200"/>
        <w:jc w:val="center"/>
        <w:outlineLvl w:val="0"/>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1</w:t>
      </w:r>
      <w:r>
        <w:rPr>
          <w:rFonts w:hint="eastAsia" w:ascii="仿宋_GB2312" w:eastAsia="仿宋_GB2312"/>
          <w:b/>
          <w:sz w:val="32"/>
          <w:szCs w:val="32"/>
        </w:rPr>
        <w:t>年</w:t>
      </w:r>
      <w:r>
        <w:rPr>
          <w:rFonts w:hint="eastAsia" w:ascii="仿宋_GB2312" w:eastAsia="仿宋_GB2312"/>
          <w:b/>
          <w:sz w:val="32"/>
          <w:szCs w:val="32"/>
          <w:lang w:val="en-US" w:eastAsia="zh-CN"/>
        </w:rPr>
        <w:t>下</w:t>
      </w:r>
      <w:r>
        <w:rPr>
          <w:rFonts w:hint="eastAsia" w:ascii="仿宋_GB2312" w:eastAsia="仿宋_GB2312"/>
          <w:b/>
          <w:sz w:val="32"/>
          <w:szCs w:val="32"/>
        </w:rPr>
        <w:t>学期推优名额分配表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8"/>
        <w:gridCol w:w="3195"/>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3228" w:type="dxa"/>
            <w:noWrap w:val="0"/>
            <w:vAlign w:val="center"/>
          </w:tcPr>
          <w:p>
            <w:pPr>
              <w:spacing w:line="360" w:lineRule="auto"/>
              <w:jc w:val="center"/>
              <w:rPr>
                <w:rFonts w:eastAsia="仿宋_GB2312"/>
                <w:sz w:val="32"/>
                <w:szCs w:val="32"/>
              </w:rPr>
            </w:pPr>
            <w:r>
              <w:rPr>
                <w:rFonts w:eastAsia="仿宋_GB2312"/>
                <w:sz w:val="32"/>
                <w:szCs w:val="32"/>
              </w:rPr>
              <w:t>学院</w:t>
            </w:r>
          </w:p>
        </w:tc>
        <w:tc>
          <w:tcPr>
            <w:tcW w:w="3195" w:type="dxa"/>
            <w:noWrap w:val="0"/>
            <w:vAlign w:val="center"/>
          </w:tcPr>
          <w:p>
            <w:pPr>
              <w:spacing w:line="360" w:lineRule="auto"/>
              <w:jc w:val="center"/>
              <w:rPr>
                <w:rFonts w:eastAsia="仿宋_GB2312"/>
                <w:sz w:val="32"/>
                <w:szCs w:val="32"/>
              </w:rPr>
            </w:pPr>
            <w:r>
              <w:rPr>
                <w:rFonts w:hint="eastAsia" w:eastAsia="仿宋_GB2312"/>
                <w:sz w:val="32"/>
                <w:szCs w:val="32"/>
              </w:rPr>
              <w:t>团员</w:t>
            </w:r>
            <w:r>
              <w:rPr>
                <w:rFonts w:eastAsia="仿宋_GB2312"/>
                <w:sz w:val="32"/>
                <w:szCs w:val="32"/>
              </w:rPr>
              <w:t>人数</w:t>
            </w:r>
          </w:p>
          <w:p>
            <w:pPr>
              <w:spacing w:line="360" w:lineRule="auto"/>
              <w:jc w:val="center"/>
              <w:rPr>
                <w:rFonts w:hint="eastAsia" w:eastAsia="仿宋_GB2312"/>
                <w:sz w:val="32"/>
                <w:szCs w:val="32"/>
              </w:rPr>
            </w:pPr>
            <w:r>
              <w:rPr>
                <w:rFonts w:hint="eastAsia" w:eastAsia="仿宋_GB2312"/>
                <w:sz w:val="24"/>
                <w:szCs w:val="24"/>
              </w:rPr>
              <w:t>（</w:t>
            </w:r>
            <w:r>
              <w:rPr>
                <w:rFonts w:hint="eastAsia" w:eastAsia="仿宋_GB2312"/>
                <w:sz w:val="24"/>
                <w:szCs w:val="24"/>
                <w:lang w:val="en-US" w:eastAsia="zh-CN"/>
              </w:rPr>
              <w:t>20</w:t>
            </w:r>
            <w:r>
              <w:rPr>
                <w:rFonts w:hint="eastAsia" w:eastAsia="仿宋_GB2312"/>
                <w:sz w:val="24"/>
                <w:szCs w:val="24"/>
                <w:lang w:eastAsia="zh-CN"/>
              </w:rPr>
              <w:t>、</w:t>
            </w:r>
            <w:r>
              <w:rPr>
                <w:rFonts w:hint="eastAsia" w:eastAsia="仿宋_GB2312"/>
                <w:sz w:val="24"/>
                <w:szCs w:val="24"/>
                <w:lang w:val="en-US" w:eastAsia="zh-CN"/>
              </w:rPr>
              <w:t>21</w:t>
            </w:r>
            <w:r>
              <w:rPr>
                <w:rFonts w:hint="eastAsia" w:eastAsia="仿宋_GB2312"/>
                <w:sz w:val="24"/>
                <w:szCs w:val="24"/>
              </w:rPr>
              <w:t>级）</w:t>
            </w:r>
          </w:p>
        </w:tc>
        <w:tc>
          <w:tcPr>
            <w:tcW w:w="2255" w:type="dxa"/>
            <w:noWrap w:val="0"/>
            <w:vAlign w:val="center"/>
          </w:tcPr>
          <w:p>
            <w:pPr>
              <w:spacing w:line="360" w:lineRule="auto"/>
              <w:jc w:val="center"/>
              <w:rPr>
                <w:rFonts w:eastAsia="仿宋_GB2312"/>
                <w:sz w:val="32"/>
                <w:szCs w:val="32"/>
              </w:rPr>
            </w:pPr>
            <w:r>
              <w:rPr>
                <w:rFonts w:hint="eastAsia" w:eastAsia="仿宋_GB2312"/>
                <w:sz w:val="32"/>
                <w:szCs w:val="32"/>
              </w:rPr>
              <w:t>名额分配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3228" w:type="dxa"/>
            <w:noWrap w:val="0"/>
            <w:vAlign w:val="center"/>
          </w:tcPr>
          <w:p>
            <w:pPr>
              <w:spacing w:line="360" w:lineRule="auto"/>
              <w:jc w:val="center"/>
              <w:rPr>
                <w:rFonts w:eastAsia="仿宋_GB2312"/>
                <w:sz w:val="32"/>
                <w:szCs w:val="32"/>
              </w:rPr>
            </w:pPr>
            <w:r>
              <w:rPr>
                <w:rFonts w:hint="eastAsia" w:eastAsia="仿宋_GB2312"/>
                <w:sz w:val="31"/>
                <w:szCs w:val="31"/>
              </w:rPr>
              <w:t>新能源学院</w:t>
            </w:r>
          </w:p>
        </w:tc>
        <w:tc>
          <w:tcPr>
            <w:tcW w:w="319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916</w:t>
            </w:r>
          </w:p>
        </w:tc>
        <w:tc>
          <w:tcPr>
            <w:tcW w:w="225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3228" w:type="dxa"/>
            <w:noWrap w:val="0"/>
            <w:vAlign w:val="center"/>
          </w:tcPr>
          <w:p>
            <w:pPr>
              <w:spacing w:line="360" w:lineRule="auto"/>
              <w:jc w:val="center"/>
              <w:rPr>
                <w:rFonts w:eastAsia="仿宋_GB2312"/>
                <w:sz w:val="32"/>
                <w:szCs w:val="32"/>
              </w:rPr>
            </w:pPr>
            <w:r>
              <w:rPr>
                <w:rFonts w:hint="eastAsia" w:eastAsia="仿宋_GB2312"/>
                <w:sz w:val="31"/>
                <w:szCs w:val="31"/>
              </w:rPr>
              <w:t>智能制造学院</w:t>
            </w:r>
          </w:p>
        </w:tc>
        <w:tc>
          <w:tcPr>
            <w:tcW w:w="319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596</w:t>
            </w:r>
          </w:p>
        </w:tc>
        <w:tc>
          <w:tcPr>
            <w:tcW w:w="225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3228" w:type="dxa"/>
            <w:noWrap w:val="0"/>
            <w:vAlign w:val="center"/>
          </w:tcPr>
          <w:p>
            <w:pPr>
              <w:spacing w:line="360" w:lineRule="auto"/>
              <w:jc w:val="center"/>
              <w:rPr>
                <w:rFonts w:eastAsia="仿宋_GB2312"/>
                <w:sz w:val="32"/>
                <w:szCs w:val="32"/>
              </w:rPr>
            </w:pPr>
            <w:r>
              <w:rPr>
                <w:rFonts w:hint="eastAsia" w:eastAsia="仿宋_GB2312"/>
                <w:sz w:val="31"/>
                <w:szCs w:val="31"/>
              </w:rPr>
              <w:t>管理艺术</w:t>
            </w:r>
            <w:r>
              <w:rPr>
                <w:rFonts w:eastAsia="仿宋_GB2312"/>
                <w:sz w:val="31"/>
                <w:szCs w:val="31"/>
              </w:rPr>
              <w:t>学院</w:t>
            </w:r>
          </w:p>
        </w:tc>
        <w:tc>
          <w:tcPr>
            <w:tcW w:w="319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924</w:t>
            </w:r>
          </w:p>
        </w:tc>
        <w:tc>
          <w:tcPr>
            <w:tcW w:w="225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3228" w:type="dxa"/>
            <w:noWrap w:val="0"/>
            <w:vAlign w:val="center"/>
          </w:tcPr>
          <w:p>
            <w:pPr>
              <w:spacing w:line="360" w:lineRule="auto"/>
              <w:jc w:val="center"/>
              <w:rPr>
                <w:rFonts w:eastAsia="仿宋_GB2312"/>
                <w:sz w:val="31"/>
                <w:szCs w:val="31"/>
              </w:rPr>
            </w:pPr>
            <w:r>
              <w:rPr>
                <w:rFonts w:hint="eastAsia" w:eastAsia="仿宋_GB2312"/>
                <w:sz w:val="31"/>
                <w:szCs w:val="31"/>
              </w:rPr>
              <w:t>动力谷分院</w:t>
            </w:r>
          </w:p>
        </w:tc>
        <w:tc>
          <w:tcPr>
            <w:tcW w:w="319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151</w:t>
            </w:r>
          </w:p>
        </w:tc>
        <w:tc>
          <w:tcPr>
            <w:tcW w:w="225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3228" w:type="dxa"/>
            <w:noWrap w:val="0"/>
            <w:vAlign w:val="center"/>
          </w:tcPr>
          <w:p>
            <w:pPr>
              <w:spacing w:line="360" w:lineRule="auto"/>
              <w:jc w:val="center"/>
              <w:rPr>
                <w:rFonts w:hint="eastAsia" w:eastAsia="仿宋_GB2312"/>
                <w:sz w:val="31"/>
                <w:szCs w:val="31"/>
              </w:rPr>
            </w:pPr>
            <w:r>
              <w:rPr>
                <w:rFonts w:hint="eastAsia" w:eastAsia="仿宋_GB2312"/>
                <w:sz w:val="31"/>
                <w:szCs w:val="31"/>
              </w:rPr>
              <w:t>九华分院</w:t>
            </w:r>
          </w:p>
        </w:tc>
        <w:tc>
          <w:tcPr>
            <w:tcW w:w="319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75</w:t>
            </w:r>
          </w:p>
        </w:tc>
        <w:tc>
          <w:tcPr>
            <w:tcW w:w="225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8</w:t>
            </w:r>
          </w:p>
        </w:tc>
      </w:tr>
    </w:tbl>
    <w:p>
      <w:pPr>
        <w:spacing w:line="360" w:lineRule="auto"/>
      </w:pPr>
    </w:p>
    <w:p>
      <w:pPr>
        <w:spacing w:line="360" w:lineRule="auto"/>
      </w:pPr>
    </w:p>
    <w:p>
      <w:pPr>
        <w:tabs>
          <w:tab w:val="left" w:pos="7560"/>
        </w:tabs>
        <w:ind w:firstLine="3465" w:firstLineChars="1650"/>
      </w:pPr>
    </w:p>
    <w:p>
      <w:pPr>
        <w:jc w:val="center"/>
        <w:rPr>
          <w:rFonts w:hint="eastAsia" w:ascii="仿宋_GB2312" w:hAnsi="仿宋" w:eastAsia="仿宋_GB2312" w:cs="仿宋"/>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84215"/>
    <w:rsid w:val="00CF095C"/>
    <w:rsid w:val="09B62DE1"/>
    <w:rsid w:val="0D6C7229"/>
    <w:rsid w:val="37381507"/>
    <w:rsid w:val="47941C85"/>
    <w:rsid w:val="4A532874"/>
    <w:rsid w:val="4D484215"/>
    <w:rsid w:val="63330D56"/>
    <w:rsid w:val="63786A20"/>
    <w:rsid w:val="674444DA"/>
    <w:rsid w:val="6C686092"/>
    <w:rsid w:val="743127B8"/>
    <w:rsid w:val="792C077F"/>
    <w:rsid w:val="7A0C7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page number"/>
    <w:basedOn w:val="5"/>
    <w:qFormat/>
    <w:uiPriority w:val="0"/>
    <w:rPr>
      <w:rFonts w:ascii="Times New Roman" w:hAnsi="Times New Roman" w:eastAsia="宋体" w:cs="Times New Roman"/>
    </w:r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2020-12-09T02:40:00Z</dcterms:created>
  <dc:creator>ll</dc:creator>
  <cp:lastModifiedBy>Administrator</cp:lastModifiedBy>
  <dcterms:modified xsi:type="dcterms:W3CDTF">2021-11-15T08:46:17Z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851BCEE7598742D18151C3AC96086F8A</vt:lpwstr>
  </property>
</Properties>
</file>