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Toc6673"/>
      <w:bookmarkStart w:id="1" w:name="_Toc6890"/>
      <w:bookmarkStart w:id="2" w:name="_Toc7674"/>
      <w:r>
        <w:rPr>
          <w:rFonts w:hint="eastAsia" w:ascii="方正小标宋简体" w:eastAsia="方正小标宋简体"/>
          <w:sz w:val="44"/>
          <w:szCs w:val="44"/>
        </w:rPr>
        <w:t>“十三五”期间分年投入预算表</w:t>
      </w:r>
      <w:bookmarkEnd w:id="0"/>
      <w:bookmarkEnd w:id="1"/>
      <w:bookmarkEnd w:id="2"/>
    </w:p>
    <w:p>
      <w:pPr>
        <w:adjustRightInd w:val="0"/>
        <w:snapToGrid w:val="0"/>
        <w:spacing w:line="280" w:lineRule="exact"/>
        <w:jc w:val="right"/>
        <w:rPr>
          <w:rFonts w:hint="eastAsia" w:ascii="仿宋_GB2312" w:hAnsi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kern w:val="0"/>
          <w:sz w:val="28"/>
          <w:szCs w:val="28"/>
        </w:rPr>
        <w:t>（万元）</w:t>
      </w:r>
    </w:p>
    <w:tbl>
      <w:tblPr>
        <w:tblStyle w:val="6"/>
        <w:tblW w:w="13755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7" w:type="dxa"/>
          <w:bottom w:w="0" w:type="dxa"/>
          <w:right w:w="67" w:type="dxa"/>
        </w:tblCellMar>
      </w:tblPr>
      <w:tblGrid>
        <w:gridCol w:w="492"/>
        <w:gridCol w:w="674"/>
        <w:gridCol w:w="2149"/>
        <w:gridCol w:w="631"/>
        <w:gridCol w:w="2249"/>
        <w:gridCol w:w="18"/>
        <w:gridCol w:w="2267"/>
        <w:gridCol w:w="2267"/>
        <w:gridCol w:w="1208"/>
        <w:gridCol w:w="97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60" w:hRule="atLeast"/>
          <w:tblHeader/>
        </w:trPr>
        <w:tc>
          <w:tcPr>
            <w:tcW w:w="3946" w:type="dxa"/>
            <w:gridSpan w:val="4"/>
            <w:shd w:val="clear" w:color="000000" w:fill="00B0F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3" w:name="_Toc432779877"/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2267" w:type="dxa"/>
            <w:gridSpan w:val="2"/>
            <w:shd w:val="clear" w:color="000000" w:fill="00B0F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2267" w:type="dxa"/>
            <w:shd w:val="clear" w:color="000000" w:fill="00B0F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2267" w:type="dxa"/>
            <w:shd w:val="clear" w:color="000000" w:fill="00B0F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208" w:type="dxa"/>
            <w:shd w:val="clear" w:color="000000" w:fill="00B0F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975" w:type="dxa"/>
            <w:shd w:val="clear" w:color="000000" w:fill="00B0F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825" w:type="dxa"/>
            <w:shd w:val="clear" w:color="000000" w:fill="00B0F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338" w:hRule="atLeast"/>
        </w:trPr>
        <w:tc>
          <w:tcPr>
            <w:tcW w:w="3946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8683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14536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7972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1128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807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85" w:hRule="atLeast"/>
        </w:trPr>
        <w:tc>
          <w:tcPr>
            <w:tcW w:w="4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一、达标提质工程</w:t>
            </w:r>
          </w:p>
        </w:tc>
        <w:tc>
          <w:tcPr>
            <w:tcW w:w="3454" w:type="dxa"/>
            <w:gridSpan w:val="3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2267" w:type="dxa"/>
            <w:gridSpan w:val="2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8030</w:t>
            </w:r>
          </w:p>
        </w:tc>
        <w:tc>
          <w:tcPr>
            <w:tcW w:w="2267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12907</w:t>
            </w:r>
          </w:p>
        </w:tc>
        <w:tc>
          <w:tcPr>
            <w:tcW w:w="2267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7072</w:t>
            </w:r>
          </w:p>
        </w:tc>
        <w:tc>
          <w:tcPr>
            <w:tcW w:w="1208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495</w:t>
            </w:r>
          </w:p>
        </w:tc>
        <w:tc>
          <w:tcPr>
            <w:tcW w:w="975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215</w:t>
            </w:r>
          </w:p>
        </w:tc>
        <w:tc>
          <w:tcPr>
            <w:tcW w:w="825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校园占地面积达标工程项目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8000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568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</w:t>
            </w:r>
          </w:p>
        </w:tc>
        <w:tc>
          <w:tcPr>
            <w:tcW w:w="6801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岳塘区福星村征收130.9亩，涉及116户房屋补偿、500个人员安置、水塘及青苗补偿、其他费用补偿。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359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校园建筑面积达标提质工程项目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7250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3220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4356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14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一期工程：4号公寓楼</w:t>
            </w:r>
            <w:r>
              <w:rPr>
                <w:rFonts w:hint="eastAsia" w:ascii="宋体" w:hAnsi="宋体" w:eastAsia="宋体"/>
                <w:b/>
                <w:sz w:val="20"/>
                <w:szCs w:val="21"/>
              </w:rPr>
              <w:t>（8997平米×1612元/平=1450万）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；生产性实习实训综合楼</w:t>
            </w:r>
            <w:r>
              <w:rPr>
                <w:rFonts w:hint="eastAsia" w:ascii="宋体" w:hAnsi="宋体" w:eastAsia="宋体"/>
                <w:b/>
                <w:sz w:val="20"/>
                <w:szCs w:val="21"/>
              </w:rPr>
              <w:t>（24000平米×2417元/平=5800万）。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二期工程：理实一体化综合教学楼</w:t>
            </w:r>
            <w:r>
              <w:rPr>
                <w:rFonts w:hint="eastAsia" w:ascii="宋体" w:hAnsi="宋体" w:eastAsia="宋体"/>
                <w:b/>
                <w:sz w:val="20"/>
                <w:szCs w:val="21"/>
              </w:rPr>
              <w:t>（12575平米×2000元/平=2515万）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；师生运动中心</w:t>
            </w:r>
            <w:r>
              <w:rPr>
                <w:rFonts w:hint="eastAsia" w:ascii="宋体" w:hAnsi="宋体" w:eastAsia="宋体"/>
                <w:b/>
                <w:sz w:val="20"/>
                <w:szCs w:val="21"/>
              </w:rPr>
              <w:t>（3523平米×2000元/平=705万）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三期工程：综合科技楼</w:t>
            </w:r>
            <w:r>
              <w:rPr>
                <w:rFonts w:hint="eastAsia" w:ascii="宋体" w:hAnsi="宋体" w:eastAsia="宋体"/>
                <w:b/>
                <w:sz w:val="20"/>
                <w:szCs w:val="21"/>
              </w:rPr>
              <w:t>（8758平米×2000元/平=1752万）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；综合公寓楼</w:t>
            </w:r>
            <w:r>
              <w:rPr>
                <w:rFonts w:hint="eastAsia" w:ascii="宋体" w:hAnsi="宋体" w:eastAsia="宋体"/>
                <w:b/>
                <w:sz w:val="20"/>
                <w:szCs w:val="21"/>
              </w:rPr>
              <w:t>（9050平米×1612元/平=1460万）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；后勤服务中心</w:t>
            </w:r>
            <w:r>
              <w:rPr>
                <w:rFonts w:hint="eastAsia" w:ascii="宋体" w:hAnsi="宋体" w:eastAsia="宋体"/>
                <w:b/>
                <w:sz w:val="20"/>
                <w:szCs w:val="21"/>
              </w:rPr>
              <w:t>（7098平米×1612元/平=1144万）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36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校园环境绿化美化工程项目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72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绿化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新增绿化面积4.62亩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新增绿化面积2.3亩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新增绿化面积1.15亩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ind w:firstLine="105" w:firstLineChars="5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新增绿化面积1.15亩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64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电力系统扩容改造工程项目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7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新增125KVA电力变压器系统两套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391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w w:val="9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学生宿舍环境改造工程项目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265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712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学生宿舍配置1.35—1.5P空调机900台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44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图书资料达标增量工程项目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2万册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4万册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4.3万册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3万册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3万册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教育装备能力提升工程项目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包括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省级示范特色专业群—设备采购项目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654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改扩建8间专业实训室，新增设备195台套。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改扩建9间专业实训室，新增设备295台套。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省级生产性实训基地—设备采购项目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945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新建风力发电实训室、220KW风力归电离/并网实训室，共计新增设备80台套。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新建风力发电机安装调试实实训室、光伏产品加工与制作实训室，共计新增设备60台套。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375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省级重点实验室建设项目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120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任务或子项目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光伏并网工程实验室新增最大功率跟踪控制器、方阵功率调节器、隔离型DC—DC变换器、防孤岛试验检测设备等10台套。</w:t>
            </w:r>
          </w:p>
        </w:tc>
        <w:tc>
          <w:tcPr>
            <w:tcW w:w="2285" w:type="dxa"/>
            <w:gridSpan w:val="2"/>
            <w:vAlign w:val="top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太阳能建筑一体化实验室新增多功能数据采集系统、离心通风机、光热采暖系统、等设备2套。能源管理与节能技术实验室新增数字实时仿真、网络接口箱、功率放大器等设备30台套等。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375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推进智慧校园建设项目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512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327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375" w:hRule="atLeast"/>
        </w:trPr>
        <w:tc>
          <w:tcPr>
            <w:tcW w:w="4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包括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校园网络提质改造工程项目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80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</w:t>
            </w:r>
          </w:p>
        </w:tc>
        <w:tc>
          <w:tcPr>
            <w:tcW w:w="2249" w:type="dxa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1.学生宿舍网络布线改造（15万）；2.办公楼以及第二教学楼网络布线改造（20万）。</w:t>
            </w:r>
          </w:p>
        </w:tc>
        <w:tc>
          <w:tcPr>
            <w:tcW w:w="2285" w:type="dxa"/>
            <w:gridSpan w:val="2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1.全校现有60台 接入层交换机全部更换为千兆级别设备（50万）；2.新增5台万兆级别汇聚交换机（30万）。</w:t>
            </w:r>
          </w:p>
        </w:tc>
        <w:tc>
          <w:tcPr>
            <w:tcW w:w="2267" w:type="dxa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1.北院学生宿舍网路布线（20万）；2.北院光纤铺设（10万）；3.北院教学楼和实验楼网线布线（45万）。</w:t>
            </w:r>
          </w:p>
        </w:tc>
        <w:tc>
          <w:tcPr>
            <w:tcW w:w="1208" w:type="dxa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新增校区计算机有线网建设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45" w:hRule="atLeast"/>
        </w:trPr>
        <w:tc>
          <w:tcPr>
            <w:tcW w:w="4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校园物联网--一卡通建设项目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现有校园一卡通建设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新增校园（含北院）一卡通建设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数据中心建设项目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2285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208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1912" w:hRule="atLeast"/>
        </w:trPr>
        <w:tc>
          <w:tcPr>
            <w:tcW w:w="4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</w:t>
            </w:r>
          </w:p>
        </w:tc>
        <w:tc>
          <w:tcPr>
            <w:tcW w:w="224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1.新机房电力保障改造、避雷改造、相关装修；2.虚拟化服务器扩充以及硬件升级；3.核心交换机扩充线卡。</w:t>
            </w:r>
          </w:p>
        </w:tc>
        <w:tc>
          <w:tcPr>
            <w:tcW w:w="2285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1．将核心机房搬迁至新址；2.新增增补一台核心交换机，与现有核心交换机组成互为备份的全万兆骨干；3.增加数据存储设备；4.防火墙升级至万兆级。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1.学校互联网出口管理设备升级；2.新增上网行为审计设备；3.新增学校重点服务器安全加固设备；4.虚拟化服务器扩充。</w:t>
            </w:r>
          </w:p>
        </w:tc>
        <w:tc>
          <w:tcPr>
            <w:tcW w:w="1208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375" w:hRule="atLeast"/>
        </w:trPr>
        <w:tc>
          <w:tcPr>
            <w:tcW w:w="4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校园无线网建设项目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08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233" w:hRule="atLeast"/>
        </w:trPr>
        <w:tc>
          <w:tcPr>
            <w:tcW w:w="4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</w:t>
            </w:r>
          </w:p>
        </w:tc>
        <w:tc>
          <w:tcPr>
            <w:tcW w:w="224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图书馆、办公楼、三教和实训楼区域无线覆盖工程建设含无线运营计费系统、运维管理系统、无线控制器、大容量AP、供电交换机等。二教教学楼、学生宿舍、食堂区域无线覆盖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北院及田径场等室外公共区域无线覆盖</w:t>
            </w:r>
          </w:p>
        </w:tc>
        <w:tc>
          <w:tcPr>
            <w:tcW w:w="1208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新增校区无线网建设　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347" w:hRule="atLeast"/>
        </w:trPr>
        <w:tc>
          <w:tcPr>
            <w:tcW w:w="4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湖南省新能源信息中心建设项目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208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1158" w:hRule="atLeast"/>
        </w:trPr>
        <w:tc>
          <w:tcPr>
            <w:tcW w:w="4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</w:t>
            </w:r>
          </w:p>
        </w:tc>
        <w:tc>
          <w:tcPr>
            <w:tcW w:w="224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2285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1.信息中心网站服务器；2．存储服务器；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 多功能交互网站开发。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1.CMS系统；2.办公配套设施。</w:t>
            </w:r>
          </w:p>
        </w:tc>
        <w:tc>
          <w:tcPr>
            <w:tcW w:w="1208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361" w:hRule="atLeast"/>
        </w:trPr>
        <w:tc>
          <w:tcPr>
            <w:tcW w:w="4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智慧校园应用信息系统建设项目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208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30" w:hRule="atLeast"/>
        </w:trPr>
        <w:tc>
          <w:tcPr>
            <w:tcW w:w="4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49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CRP系统应用推广</w:t>
            </w:r>
          </w:p>
        </w:tc>
        <w:tc>
          <w:tcPr>
            <w:tcW w:w="2285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8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二、特色专业群建设工程</w:t>
            </w:r>
          </w:p>
        </w:tc>
        <w:tc>
          <w:tcPr>
            <w:tcW w:w="3454" w:type="dxa"/>
            <w:gridSpan w:val="3"/>
            <w:shd w:val="clear" w:color="auto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2249" w:type="dxa"/>
            <w:shd w:val="clear" w:color="auto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230</w:t>
            </w:r>
          </w:p>
        </w:tc>
        <w:tc>
          <w:tcPr>
            <w:tcW w:w="2285" w:type="dxa"/>
            <w:gridSpan w:val="2"/>
            <w:shd w:val="clear" w:color="auto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820</w:t>
            </w:r>
          </w:p>
        </w:tc>
        <w:tc>
          <w:tcPr>
            <w:tcW w:w="2267" w:type="dxa"/>
            <w:shd w:val="clear" w:color="auto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220</w:t>
            </w:r>
          </w:p>
        </w:tc>
        <w:tc>
          <w:tcPr>
            <w:tcW w:w="1208" w:type="dxa"/>
            <w:shd w:val="clear" w:color="auto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975" w:type="dxa"/>
            <w:shd w:val="clear" w:color="auto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825" w:type="dxa"/>
            <w:shd w:val="clear" w:color="auto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省级示范性特色专业群建设项目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230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825" w:hRule="atLeas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任务或子项目</w:t>
            </w: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专业结构调整，专业群课程体系改革，专业统筹发展机制。</w:t>
            </w: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专业结构调整、专业群课程体系改革、专业统筹发展机制，项目验收。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361" w:hRule="atLeas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星级专业成长工程项目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专业群基础能力提升建设项目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优质课程资源建设项目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55" w:hRule="atLeas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生产性实习实训基地建设项目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460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55" w:hRule="atLeas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包括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省级校企合作生产性实习实训基地项目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686" w:hRule="exac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新能源技术研发与推广中心建设项目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55" w:hRule="atLeas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实践教学体系改革创新建设项目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55" w:hRule="atLeas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校外实训基地建设项目 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55" w:hRule="atLeas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实践教学质量监控体系建设项目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55" w:hRule="atLeas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湖南省新能源职教集团组建项目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55" w:hRule="atLeas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校企合作股份制二级学院建设项目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55" w:hRule="atLeast"/>
        </w:trPr>
        <w:tc>
          <w:tcPr>
            <w:tcW w:w="49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新能源协同创新中心建设项目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226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55" w:hRule="atLeast"/>
        </w:trPr>
        <w:tc>
          <w:tcPr>
            <w:tcW w:w="4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三、教师成长工程</w:t>
            </w:r>
          </w:p>
        </w:tc>
        <w:tc>
          <w:tcPr>
            <w:tcW w:w="3454" w:type="dxa"/>
            <w:gridSpan w:val="3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2249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190</w:t>
            </w:r>
          </w:p>
        </w:tc>
        <w:tc>
          <w:tcPr>
            <w:tcW w:w="2285" w:type="dxa"/>
            <w:gridSpan w:val="2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400</w:t>
            </w:r>
          </w:p>
        </w:tc>
        <w:tc>
          <w:tcPr>
            <w:tcW w:w="2267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320</w:t>
            </w:r>
          </w:p>
        </w:tc>
        <w:tc>
          <w:tcPr>
            <w:tcW w:w="1208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230</w:t>
            </w:r>
          </w:p>
        </w:tc>
        <w:tc>
          <w:tcPr>
            <w:tcW w:w="975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230</w:t>
            </w:r>
          </w:p>
        </w:tc>
        <w:tc>
          <w:tcPr>
            <w:tcW w:w="825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7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专业教学团队建设项目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8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包括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省级示范特色专业群—教学团队建设项目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75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省级生产性实训基地—师资队伍建设项目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556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专业带头人建设项目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8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包括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省级示范特色专业群—专业带头人建设项目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8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省级生产性实训基地—专业带头人建设项目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99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教师专业发展建设项目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7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“双师型”教师队伍建设工程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604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卓越人才倍增项目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556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技能大师引进项目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706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包括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创建省级技能大师工作室建设项目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70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股份制“技能大师工作室”建设项目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0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优秀外籍师资引进项目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109" w:hRule="atLeast"/>
        </w:trPr>
        <w:tc>
          <w:tcPr>
            <w:tcW w:w="4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四、内部治理改革</w:t>
            </w:r>
          </w:p>
        </w:tc>
        <w:tc>
          <w:tcPr>
            <w:tcW w:w="3454" w:type="dxa"/>
            <w:gridSpan w:val="3"/>
            <w:shd w:val="clear" w:color="000000" w:fill="FFFF00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2249" w:type="dxa"/>
            <w:shd w:val="clear" w:color="000000" w:fill="FFFF00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2285" w:type="dxa"/>
            <w:gridSpan w:val="2"/>
            <w:shd w:val="clear" w:color="000000" w:fill="FFFF00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2267" w:type="dxa"/>
            <w:shd w:val="clear" w:color="000000" w:fill="FFFF00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208" w:type="dxa"/>
            <w:shd w:val="clear" w:color="000000" w:fill="FFFF00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975" w:type="dxa"/>
            <w:shd w:val="clear" w:color="000000" w:fill="FFFF00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825" w:type="dxa"/>
            <w:shd w:val="clear" w:color="000000" w:fill="FFFF00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03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学校章程建设项目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1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7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管理人员能力提升建设项目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教学管理信息化建设项目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517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专项治理项目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501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体制机制创新项目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501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和谐平安校园创建项目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五、教育教学改革</w:t>
            </w:r>
          </w:p>
        </w:tc>
        <w:tc>
          <w:tcPr>
            <w:tcW w:w="3454" w:type="dxa"/>
            <w:gridSpan w:val="3"/>
            <w:shd w:val="clear" w:color="auto" w:fill="FFFF00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2249" w:type="dxa"/>
            <w:shd w:val="clear" w:color="auto" w:fill="FFFF00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2285" w:type="dxa"/>
            <w:gridSpan w:val="2"/>
            <w:shd w:val="clear" w:color="auto" w:fill="FFFF00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2267" w:type="dxa"/>
            <w:shd w:val="clear" w:color="auto" w:fill="FFFF00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208" w:type="dxa"/>
            <w:shd w:val="clear" w:color="auto" w:fill="FFFF00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975" w:type="dxa"/>
            <w:shd w:val="clear" w:color="auto" w:fill="FFFF00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825" w:type="dxa"/>
            <w:shd w:val="clear" w:color="auto" w:fill="FFFF00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社会主义核心价值观教育工程建设项目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思政工作“进网络、进公寓、进社团”建设项目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德育工作者选拨、培养和管理机制建设项目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行业企业深度参与教学建设项目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375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教学诊断和改进建设项目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实用性校本教材开发项目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656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毕业生跟踪服务项目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694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教学管理人员培训项目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人才培养模式改革与创新建设项目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包括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中高职衔接改革建设项目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现代学徒制改革建设项目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4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7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多元评价机制建设项目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7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88" w:hRule="atLeast"/>
        </w:trPr>
        <w:tc>
          <w:tcPr>
            <w:tcW w:w="4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六、创新能力建设</w:t>
            </w:r>
          </w:p>
        </w:tc>
        <w:tc>
          <w:tcPr>
            <w:tcW w:w="3454" w:type="dxa"/>
            <w:gridSpan w:val="3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2249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2285" w:type="dxa"/>
            <w:gridSpan w:val="2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174</w:t>
            </w:r>
          </w:p>
        </w:tc>
        <w:tc>
          <w:tcPr>
            <w:tcW w:w="2267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208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975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825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628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国际化教学资源引进建设项目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57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国际合作办学（国际交换生）项目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85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实施国际教育合作项目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944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科研能力提升项目（重大项目资助专项）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616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学校品牌推广项目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　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610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创新创业训练行动建设项目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08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包括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创业基金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577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SIYB创业培训项目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17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科技创新创业训练项目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422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创新创业孵化基地项目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235" w:hRule="atLeast"/>
        </w:trPr>
        <w:tc>
          <w:tcPr>
            <w:tcW w:w="4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七、校园文化建设</w:t>
            </w:r>
          </w:p>
        </w:tc>
        <w:tc>
          <w:tcPr>
            <w:tcW w:w="3454" w:type="dxa"/>
            <w:gridSpan w:val="3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2249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85" w:type="dxa"/>
            <w:gridSpan w:val="2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2267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208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975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825" w:type="dxa"/>
            <w:shd w:val="clear" w:color="000000" w:fill="FFFF00"/>
            <w:vAlign w:val="center"/>
          </w:tcPr>
          <w:p>
            <w:pPr>
              <w:widowControl/>
              <w:spacing w:line="26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907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特色文化建设建设项目（国家级特色校园文化品牌创建工程）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533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主题文化建设项目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569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精品文化建设项目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cantSplit/>
          <w:trHeight w:val="549" w:hRule="atLeast"/>
        </w:trPr>
        <w:tc>
          <w:tcPr>
            <w:tcW w:w="492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网络文化建设项目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</w:tr>
    </w:tbl>
    <w:p>
      <w:pPr>
        <w:adjustRightInd w:val="0"/>
        <w:snapToGrid w:val="0"/>
        <w:spacing w:line="400" w:lineRule="exact"/>
        <w:jc w:val="left"/>
        <w:outlineLvl w:val="0"/>
        <w:rPr>
          <w:rFonts w:hint="eastAsia" w:ascii="仿宋_GB2312" w:hAnsi="仿宋_GB2312" w:cs="仿宋_GB2312"/>
          <w:bCs/>
          <w:kern w:val="0"/>
          <w:sz w:val="28"/>
          <w:szCs w:val="28"/>
        </w:rPr>
      </w:pPr>
      <w:bookmarkStart w:id="4" w:name="_Toc22692"/>
      <w:r>
        <w:rPr>
          <w:rFonts w:hint="eastAsia" w:ascii="黑体" w:hAnsi="仿宋_GB2312" w:eastAsia="黑体" w:cs="仿宋_GB2312"/>
          <w:bCs/>
          <w:kern w:val="0"/>
          <w:szCs w:val="32"/>
        </w:rPr>
        <w:br w:type="page"/>
      </w:r>
      <w:bookmarkStart w:id="5" w:name="_Toc24724"/>
      <w:bookmarkStart w:id="6" w:name="_Toc10389"/>
      <w:r>
        <w:rPr>
          <w:rFonts w:hint="eastAsia" w:ascii="黑体" w:hAnsi="仿宋_GB2312" w:eastAsia="黑体" w:cs="仿宋_GB2312"/>
          <w:bCs/>
          <w:kern w:val="0"/>
          <w:szCs w:val="32"/>
        </w:rPr>
        <w:t>附录2：</w:t>
      </w:r>
      <w:bookmarkEnd w:id="4"/>
      <w:bookmarkEnd w:id="5"/>
      <w:bookmarkEnd w:id="6"/>
    </w:p>
    <w:bookmarkEnd w:id="3"/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7" w:name="_Toc11588"/>
      <w:bookmarkStart w:id="8" w:name="_Toc9630"/>
      <w:bookmarkStart w:id="9" w:name="_Toc1620"/>
      <w:r>
        <w:rPr>
          <w:rFonts w:hint="eastAsia" w:ascii="方正小标宋简体" w:eastAsia="方正小标宋简体"/>
          <w:sz w:val="44"/>
          <w:szCs w:val="44"/>
        </w:rPr>
        <w:t>“十三五”规划重点任务分工及进度安排表</w:t>
      </w:r>
      <w:bookmarkEnd w:id="7"/>
      <w:bookmarkEnd w:id="8"/>
      <w:bookmarkEnd w:id="9"/>
    </w:p>
    <w:tbl>
      <w:tblPr>
        <w:tblStyle w:val="6"/>
        <w:tblW w:w="141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32"/>
        <w:gridCol w:w="173"/>
        <w:gridCol w:w="5322"/>
        <w:gridCol w:w="1515"/>
        <w:gridCol w:w="1849"/>
        <w:gridCol w:w="3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 w:val="21"/>
                <w:szCs w:val="21"/>
              </w:rPr>
              <w:t>工作任务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 w:val="21"/>
                <w:szCs w:val="21"/>
              </w:rPr>
              <w:t>牵头部门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 w:val="21"/>
                <w:szCs w:val="21"/>
              </w:rPr>
              <w:t>配合部门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 w:val="21"/>
                <w:szCs w:val="21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41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 w:val="21"/>
                <w:szCs w:val="21"/>
              </w:rPr>
              <w:t>一、校园达标提质工程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科学规划校园空间，合理布局校园校舍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发展规划处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党政办、后勤产业处、国资处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2016年9月完成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适应专业建设发展需要，编制图书资源建设规划，落实图书资源采购建设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图书馆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各二级学院、思政基础体育部、财务处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2016年12月完成规划，持续实施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根据专业建设发展需要制定“十三五”教学科研仪器装备建设计划，完善实践教学条件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各二级学院、科研处、后勤产业处、国资处、财务处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2016年12月制定，持续实施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4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电力系统扩容改造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后勤产业处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国资处、财务处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2016年11月完成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5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学生宿舍环境改造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后勤产业处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国资处、财务处、学工保卫处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2016年9月完成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6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制订和完善数字校园建设规划，建立健全管理信息系统应用和技术支持服务体系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宣传统战部（信息化办）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其他部门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7年1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2月前完成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7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完成校园网改版、实施校园网络基础设施改造升级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宣传统战部（信息化办）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其他部门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2016年10月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bookmarkStart w:id="10" w:name="OLE_LINK5" w:colFirst="2" w:colLast="3"/>
            <w:r>
              <w:rPr>
                <w:rFonts w:hint="eastAsia" w:ascii="宋体" w:hAnsi="宋体" w:eastAsia="宋体" w:cs="仿宋_GB2312"/>
                <w:sz w:val="21"/>
                <w:szCs w:val="21"/>
              </w:rPr>
              <w:t>8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建设网络在线教学系统，完善网络教学功能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bookmarkStart w:id="11" w:name="OLE_LINK7"/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</w:t>
            </w:r>
            <w:bookmarkEnd w:id="11"/>
            <w:r>
              <w:rPr>
                <w:rFonts w:hint="eastAsia" w:ascii="宋体" w:hAnsi="宋体" w:eastAsia="宋体" w:cs="仿宋_GB2312"/>
                <w:sz w:val="21"/>
                <w:szCs w:val="21"/>
              </w:rPr>
              <w:t>（信息化办）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2016年1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2月完成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bookmarkStart w:id="12" w:name="OLE_LINK6" w:colFirst="2" w:colLast="3"/>
            <w:r>
              <w:rPr>
                <w:rFonts w:hint="eastAsia" w:ascii="宋体" w:hAnsi="宋体" w:eastAsia="宋体" w:cs="仿宋_GB2312"/>
                <w:sz w:val="21"/>
                <w:szCs w:val="21"/>
              </w:rPr>
              <w:t>9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开发网上远程教学系统，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实现所有课程在线学习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宣传统战部（信息化办）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教务处、各二级学院、思政基础体育部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2016年1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2月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出台方案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2017年完成远程教学系统开发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2020年底完成课程建设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10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建设互联互通、统一共享的数据中心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宣传统战部（信息化办）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其他各部门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12月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11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升级改造数字化校园集成系统，建设校园物联网，全面建成智慧校园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宣传统战部（信息化办）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后勤产业处、国资处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2017年12月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12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加强教师和管理人员信息化应用能力考核与培养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宣传统战部（信息化办）、考核办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1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 w:val="21"/>
                <w:szCs w:val="21"/>
              </w:rPr>
              <w:t>二、示范性特色专业群建设工程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进一步修订完善“星级专业”管理制度，推进专业建设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各二级学院、科研处（督导室）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2016年9月完成制度，持续实施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深入新能源企业开展调研，编制“十三五”特色专业发展规划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发展规划处、各二级学院、思政基础体育部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2017年6月完成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进一步优化专业结构，适时增设湖南产业转型升级发展需要的新专业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4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加强品牌专业建设，形成对接、服务、提升、引领太阳能及风电产业和新能源管理与服务的专业体系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5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成立校企合作委员会，完善专业建设指导委员会，完善相关运行机制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党政办、校企合作办、各二级学院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2016年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6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牵头组建湖南新能源职业教育集团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发展规划处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党政办、教务处（校企合作办）、组织人事处、各二级学院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18年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12月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7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优化校内实践教学基地布局，加强能源类专业生产性实训基础设施建设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后勤产业处、国资处、各二级学院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2018年12月完成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8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加强校外实践教学基地建设，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完善校外实训基地运行管理模式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bookmarkStart w:id="13" w:name="OLE_LINK8"/>
            <w:r>
              <w:rPr>
                <w:rFonts w:hint="eastAsia" w:ascii="宋体" w:hAnsi="宋体" w:eastAsia="宋体" w:cs="仿宋_GB2312"/>
                <w:sz w:val="21"/>
                <w:szCs w:val="21"/>
              </w:rPr>
              <w:t>各二级学院、党政办</w:t>
            </w:r>
            <w:bookmarkEnd w:id="13"/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9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做好省级示范性校企合作生产性实习实训基地建设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发展规划处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教务处、太阳能工程学院、风能工程学院、后勤产业处、国资处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2018年6月完成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10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成立国际合作办，明确工作职责、引培国际合作人才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党政办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17年6月完成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11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制定国际合作实施办法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国际合作办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党政办、教务处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7年9月完成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12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研究制定股份制“校中厂”、工作室等校企合作研究、生产、教学一体化的教学工场实施方案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校企合作办、组织人事处、后勤产业处、国资处、各二级学院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7年6月完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13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推进“校中厂”、工作室等校企合作研究、生产、教学一体化的教学工场建设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校企合作办、组织人事处、后勤产业处、国资处、相关二级学院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2018年6月完成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bookmarkStart w:id="14" w:name="OLE_LINK9" w:colFirst="0" w:colLast="4"/>
            <w:r>
              <w:rPr>
                <w:rFonts w:hint="eastAsia" w:ascii="宋体" w:hAnsi="宋体" w:eastAsia="宋体" w:cs="仿宋_GB2312"/>
                <w:sz w:val="21"/>
                <w:szCs w:val="21"/>
              </w:rPr>
              <w:t>14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成立创新学院，研究制定校企协同创新中心建设方案，积极实施协同创新中心建设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思政基础体育部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教务处、发展规划处、各二级学院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2016年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11月出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台，2018年6月建成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  <w:jc w:val="center"/>
        </w:trPr>
        <w:tc>
          <w:tcPr>
            <w:tcW w:w="141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 w:val="21"/>
                <w:szCs w:val="21"/>
              </w:rPr>
              <w:t>三、教师成长工程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健全教师工作绩效考核办法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其他部门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2017年6月完成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进一步完善人事管理制度，全面推行竞聘上岗、分类管理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其他部门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2017年6月完成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制定和完善青年骨干教师遴选培养办法、专业带头人选拔培养办法、教学科研团队建设办法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教务处、科研处、各二级学院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2017年6月完成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4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制定并实施卓越人才倍增计划，引进重点学科专业高层次人才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2016年12月出台，持续实施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5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制定省级名师建设相关实施办法、激励政策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教务处、财务处、各二级学院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6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制定、完善名师成长工程实施方案及相关配套制度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7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落实教师培训专项经费，加大专业带头人培养力度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财务处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分年度完成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8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加强专业教学团队、“双师型”教师队伍建设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9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建立兼职专业教师队伍管理新机制，规范兼职教师聘任与考核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10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选派骨干教师参加国外培训、聘请外籍技术专家</w:t>
            </w:r>
            <w:r>
              <w:rPr>
                <w:rFonts w:ascii="宋体" w:hAnsi="宋体" w:eastAsia="宋体" w:cs="仿宋_GB2312"/>
                <w:sz w:val="21"/>
                <w:szCs w:val="21"/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国际合作办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组织人事处、教务处、各二级学院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1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 w:val="21"/>
                <w:szCs w:val="21"/>
              </w:rPr>
              <w:t>四、内部治理改革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0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突出问题专项治理行动</w:t>
            </w:r>
          </w:p>
        </w:tc>
        <w:tc>
          <w:tcPr>
            <w:tcW w:w="549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诚信招生承诺活动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招生就业处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其他各部门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9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学籍信息核查活动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9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教学标准落地活动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2017年6月完成，持续实施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9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实习管理规范活动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2017年12月完成，持续实施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9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平安校园创建活动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学工保卫处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其他各部门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2017年12月完成，持续建设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9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财务管理规范活动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财务处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纪检监察审计处、其他各部门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7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完善内部管理制度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党政办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其他各部门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实施管理人员能力提升计划，加强管理人员培训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党政办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2016年12月底出台，持续实施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4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制定年度计划，全面推进信息化建设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宣传统战部（信息化办）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其他各部门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1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 w:val="21"/>
                <w:szCs w:val="21"/>
              </w:rPr>
              <w:t>五、教育教学改革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bookmarkStart w:id="15" w:name="OLE_LINK10" w:colFirst="0" w:colLast="4"/>
            <w:r>
              <w:rPr>
                <w:rFonts w:hint="eastAsia" w:ascii="宋体" w:hAnsi="宋体" w:eastAsia="宋体" w:cs="仿宋_GB2312"/>
                <w:sz w:val="21"/>
                <w:szCs w:val="21"/>
              </w:rPr>
              <w:t>1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探索学分制管理，全面开展教学改革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各二级学院、思政基础体育部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2016年12月出台实施方案，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持续实施</w:t>
            </w: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建立完善“分层培养，层层递进，逐步提高”的实践教学体系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，开展凸显现代学徒制的人才培养模式改革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各二级学院、思政基础体育部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建立完善人才培养与教学质量内部诊断评价机制，形成学校人才培养质量年度报告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发展规划处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教务处、督导室、招生就业处、各二级学院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2017年6月前完善机制，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根据上级安排完成年度报告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bookmarkStart w:id="16" w:name="OLE_LINK11" w:colFirst="0" w:colLast="4"/>
            <w:r>
              <w:rPr>
                <w:rFonts w:hint="eastAsia" w:ascii="宋体" w:hAnsi="宋体" w:eastAsia="宋体" w:cs="仿宋_GB2312"/>
                <w:sz w:val="21"/>
                <w:szCs w:val="21"/>
              </w:rPr>
              <w:t>4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开展中高职衔接改革试点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招生就业处、各二级学院、五年制大专部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2016年12月底出台方案</w:t>
            </w:r>
          </w:p>
        </w:tc>
      </w:tr>
      <w:bookmark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bookmarkStart w:id="17" w:name="OLE_LINK12" w:colFirst="0" w:colLast="4"/>
            <w:r>
              <w:rPr>
                <w:rFonts w:hint="eastAsia" w:ascii="宋体" w:hAnsi="宋体" w:eastAsia="宋体" w:cs="仿宋_GB2312"/>
                <w:sz w:val="21"/>
                <w:szCs w:val="21"/>
              </w:rPr>
              <w:t>5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推进现代信息技术与教育技术融合研究，开展信息化教学模式改革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宣传统战部（信息化办）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科研处、教务处、各二级学院、思政基础体育部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持续实施</w:t>
            </w:r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6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制定并实施教学资源共享计划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各二级学院、思政基础体育部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2017年6月完成，持续实施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7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引进新能源产业国际职业标准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证书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、技术标准与规范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国际合作办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教务处、科研处、各二级学院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2017年6月完成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8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开展国际交流生合作项目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国际合作办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教务处、招生就业处、各二级学院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9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完善德育工作者选拔、培养和管理机制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学工保卫处、各二级学院、思政基础体育部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2016年12月出台，并持续实施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41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六、创新能力建设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落实科研目标责任制，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完善科研队伍建设、管理、激励机制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科研处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加强科研人才引进、培养，加强科研团队建设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科研处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加强高等职业教育、技术技能人才成长规律研究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科研处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4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重点学科专业领域技术创新研究与成果转化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科研处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5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建立和完善科研评估指标体系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科研处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组织人事处、教务处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2016年12月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6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建立多渠道筹集研究基金的管理机制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科研处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财务处、校企合作办、国际合作办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2017年6月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7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成立学校科研管理协会，加强与国内各大出版社、重点刊物的联系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科研处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各二级学院、图书馆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2017年成立协会，持续实施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8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拟定“光伏发电系统控制与优化”湖南省工程实验室建设方案，并组织落实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科研处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发展规划处、教务处、后勤产业处、宣传统战部（信息化办）、国资处、财务处、各二级学院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2016年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12月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制定方案，2018年完成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9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“一基地、两中心”</w:t>
            </w:r>
          </w:p>
        </w:tc>
        <w:tc>
          <w:tcPr>
            <w:tcW w:w="532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启动“湖南新能源产业人才培养核心基地”建设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</w:t>
            </w:r>
          </w:p>
        </w:tc>
        <w:tc>
          <w:tcPr>
            <w:tcW w:w="18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发展规划处、后勤产业处、国资处、财务处、各二级学院</w:t>
            </w:r>
          </w:p>
        </w:tc>
        <w:tc>
          <w:tcPr>
            <w:tcW w:w="35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2016年12月前启动，并持续建设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532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启动“湖南新能源技术研发与推广中心”建设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科研处</w:t>
            </w:r>
          </w:p>
        </w:tc>
        <w:tc>
          <w:tcPr>
            <w:tcW w:w="18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35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532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启动“湖南新能源信息中心”建设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宣传统战部（信息化办）</w:t>
            </w:r>
          </w:p>
        </w:tc>
        <w:tc>
          <w:tcPr>
            <w:tcW w:w="18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35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bookmarkStart w:id="18" w:name="OLE_LINK15" w:colFirst="0" w:colLast="4"/>
            <w:r>
              <w:rPr>
                <w:rFonts w:hint="eastAsia" w:ascii="宋体" w:hAnsi="宋体" w:eastAsia="宋体" w:cs="仿宋_GB2312"/>
                <w:sz w:val="21"/>
                <w:szCs w:val="21"/>
              </w:rPr>
              <w:t>10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制定并实施创新创业行动计划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创新学院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其他部门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2016年12月完成，并持续实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施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bookmarkStart w:id="19" w:name="OLE_LINK16" w:colFirst="0" w:colLast="4"/>
            <w:r>
              <w:rPr>
                <w:rFonts w:hint="eastAsia" w:ascii="宋体" w:hAnsi="宋体" w:eastAsia="宋体" w:cs="仿宋_GB2312"/>
                <w:sz w:val="21"/>
                <w:szCs w:val="21"/>
              </w:rPr>
              <w:t>11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创新创业孵化基地建设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bookmarkStart w:id="20" w:name="OLE_LINK13"/>
            <w:r>
              <w:rPr>
                <w:rFonts w:hint="eastAsia" w:ascii="宋体" w:hAnsi="宋体" w:eastAsia="宋体" w:cs="仿宋_GB2312"/>
                <w:sz w:val="21"/>
                <w:szCs w:val="21"/>
              </w:rPr>
              <w:t>创新学院</w:t>
            </w:r>
            <w:bookmarkEnd w:id="20"/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bookmarkStart w:id="21" w:name="OLE_LINK14"/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其他部门</w:t>
            </w:r>
            <w:bookmarkEnd w:id="21"/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2017年6月完成</w:t>
            </w:r>
          </w:p>
        </w:tc>
      </w:tr>
      <w:bookmark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12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举办各类科技创新、创意设计、创业计划等专题竞赛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校团委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科研处、招生就业处、各二级学院、思政基础体育部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13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举办创新创业讲座论坛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校团委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科研处、招生就业处、各二级学院、思政基础体育部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14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落实年度创新创业教育经费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财务处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其他部门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每年2月底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  <w:jc w:val="center"/>
        </w:trPr>
        <w:tc>
          <w:tcPr>
            <w:tcW w:w="141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 w:val="21"/>
                <w:szCs w:val="21"/>
              </w:rPr>
              <w:t>七、校园文化建设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深入开展“廉·诚·爱·绿”校园文化建设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校团委、学工保卫处、思政基础体育部，其他各部门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实施网络文化建设工程，构建校园文化网络信息平台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校团委，其他各部门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2016年12月建好平台，持续实施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深入开展先进企业文化进校园系列活动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校团委、各二级学院、五年制、思政基础体育部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6年12月前出台方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案，持续实施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4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持续开展校园文化进社区活动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校团委、各二级学院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5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继续开展校园社团文化艺术节、技能节等主题教育活动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校团委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教务处、各二级学院、五年制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  <w:jc w:val="center"/>
        </w:trPr>
        <w:tc>
          <w:tcPr>
            <w:tcW w:w="141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sz w:val="21"/>
                <w:szCs w:val="21"/>
              </w:rPr>
              <w:t>八、党的建设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深入开展“两学一做”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宣传统战部，其他部门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开展“学习型、创新型、廉洁型”党组织（部门）建设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党政办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组织人事处，其他部门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统筹“思想建设、中心工作、基层党建、文化活动”，开展专题建设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党政办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组织人事处，其他部门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4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加强党风廉政建设和反腐败斗争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纪检监察审计处</w:t>
            </w:r>
          </w:p>
        </w:tc>
        <w:tc>
          <w:tcPr>
            <w:tcW w:w="18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其他各部门</w:t>
            </w:r>
          </w:p>
        </w:tc>
        <w:tc>
          <w:tcPr>
            <w:tcW w:w="35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持续实施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400" w:lineRule="exact"/>
        <w:jc w:val="left"/>
        <w:outlineLvl w:val="0"/>
        <w:rPr>
          <w:rFonts w:hint="eastAsia" w:ascii="黑体" w:hAnsi="仿宋_GB2312" w:eastAsia="黑体" w:cs="仿宋_GB2312"/>
          <w:bCs/>
          <w:kern w:val="0"/>
          <w:szCs w:val="32"/>
        </w:rPr>
      </w:pPr>
      <w:r>
        <w:rPr>
          <w:rFonts w:hint="eastAsia" w:ascii="黑体" w:hAnsi="仿宋_GB2312" w:eastAsia="黑体" w:cs="仿宋_GB2312"/>
          <w:bCs/>
          <w:kern w:val="0"/>
          <w:szCs w:val="32"/>
        </w:rPr>
        <w:t>附录3：</w:t>
      </w: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22" w:name="_Toc3889"/>
      <w:bookmarkStart w:id="23" w:name="_Toc4226"/>
      <w:r>
        <w:rPr>
          <w:rFonts w:hint="eastAsia" w:ascii="方正小标宋简体" w:eastAsia="方正小标宋简体"/>
          <w:sz w:val="44"/>
          <w:szCs w:val="44"/>
        </w:rPr>
        <w:t>湖南省“十三五”省属高职院校发展建设规划表</w:t>
      </w:r>
      <w:bookmarkEnd w:id="22"/>
      <w:bookmarkEnd w:id="23"/>
    </w:p>
    <w:tbl>
      <w:tblPr>
        <w:tblStyle w:val="6"/>
        <w:tblW w:w="14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7" w:type="dxa"/>
          <w:bottom w:w="0" w:type="dxa"/>
          <w:right w:w="67" w:type="dxa"/>
        </w:tblCellMar>
      </w:tblPr>
      <w:tblGrid>
        <w:gridCol w:w="284"/>
        <w:gridCol w:w="283"/>
        <w:gridCol w:w="814"/>
        <w:gridCol w:w="616"/>
        <w:gridCol w:w="644"/>
        <w:gridCol w:w="593"/>
        <w:gridCol w:w="796"/>
        <w:gridCol w:w="593"/>
        <w:gridCol w:w="584"/>
        <w:gridCol w:w="488"/>
        <w:gridCol w:w="656"/>
        <w:gridCol w:w="604"/>
        <w:gridCol w:w="720"/>
        <w:gridCol w:w="547"/>
        <w:gridCol w:w="542"/>
        <w:gridCol w:w="542"/>
        <w:gridCol w:w="644"/>
        <w:gridCol w:w="542"/>
        <w:gridCol w:w="644"/>
        <w:gridCol w:w="542"/>
        <w:gridCol w:w="371"/>
        <w:gridCol w:w="530"/>
        <w:gridCol w:w="1015"/>
        <w:gridCol w:w="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trHeight w:val="486" w:hRule="atLeast"/>
          <w:jc w:val="center"/>
        </w:trPr>
        <w:tc>
          <w:tcPr>
            <w:tcW w:w="28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序号</w:t>
            </w:r>
          </w:p>
        </w:tc>
        <w:tc>
          <w:tcPr>
            <w:tcW w:w="28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学校名称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校园占地面积（m2）</w:t>
            </w:r>
          </w:p>
        </w:tc>
        <w:tc>
          <w:tcPr>
            <w:tcW w:w="4314" w:type="dxa"/>
            <w:gridSpan w:val="7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现在校舍建筑面积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毕业生一次就业率</w:t>
            </w:r>
          </w:p>
        </w:tc>
        <w:tc>
          <w:tcPr>
            <w:tcW w:w="4003" w:type="dxa"/>
            <w:gridSpan w:val="7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“十三五”建设规划</w:t>
            </w:r>
          </w:p>
        </w:tc>
        <w:tc>
          <w:tcPr>
            <w:tcW w:w="371" w:type="dxa"/>
            <w:vMerge w:val="restart"/>
            <w:vAlign w:val="top"/>
          </w:tcPr>
          <w:p>
            <w:pPr>
              <w:spacing w:line="22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“十三五”规划总投资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资金来源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学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校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债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务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余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额</w:t>
            </w:r>
          </w:p>
        </w:tc>
        <w:tc>
          <w:tcPr>
            <w:tcW w:w="471" w:type="dxa"/>
            <w:vMerge w:val="restart"/>
            <w:vAlign w:val="top"/>
          </w:tcPr>
          <w:p>
            <w:pPr>
              <w:spacing w:line="22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是否计划“十三五”期间扩大校园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jc w:val="center"/>
        </w:trPr>
        <w:tc>
          <w:tcPr>
            <w:tcW w:w="28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w w:val="90"/>
                <w:sz w:val="21"/>
                <w:szCs w:val="21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w w:val="90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w w:val="90"/>
                <w:sz w:val="21"/>
                <w:szCs w:val="21"/>
              </w:rPr>
            </w:pPr>
          </w:p>
        </w:tc>
        <w:tc>
          <w:tcPr>
            <w:tcW w:w="61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全日制在校生（人）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教学用房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生活用 房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实验实训用房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2012年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2013年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2014年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全日制在校生（人）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教学用房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生活用房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实验实训用房</w:t>
            </w:r>
          </w:p>
        </w:tc>
        <w:tc>
          <w:tcPr>
            <w:tcW w:w="371" w:type="dxa"/>
            <w:vMerge w:val="continue"/>
            <w:vAlign w:val="top"/>
          </w:tcPr>
          <w:p>
            <w:pPr>
              <w:spacing w:line="22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vAlign w:val="top"/>
          </w:tcPr>
          <w:p>
            <w:pPr>
              <w:spacing w:line="22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15" w:type="dxa"/>
            <w:vMerge w:val="continue"/>
            <w:vAlign w:val="top"/>
          </w:tcPr>
          <w:p>
            <w:pPr>
              <w:spacing w:line="22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471" w:type="dxa"/>
            <w:vMerge w:val="continue"/>
            <w:vAlign w:val="top"/>
          </w:tcPr>
          <w:p>
            <w:pPr>
              <w:spacing w:line="22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trHeight w:val="90" w:hRule="atLeast"/>
          <w:jc w:val="center"/>
        </w:trPr>
        <w:tc>
          <w:tcPr>
            <w:tcW w:w="28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w w:val="90"/>
                <w:sz w:val="21"/>
                <w:szCs w:val="21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w w:val="90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w w:val="90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总建筑面积</w:t>
            </w:r>
          </w:p>
        </w:tc>
        <w:tc>
          <w:tcPr>
            <w:tcW w:w="59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生均建筑面积</w:t>
            </w:r>
          </w:p>
        </w:tc>
        <w:tc>
          <w:tcPr>
            <w:tcW w:w="79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总建筑面积</w:t>
            </w:r>
          </w:p>
        </w:tc>
        <w:tc>
          <w:tcPr>
            <w:tcW w:w="59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生均建筑面积</w:t>
            </w:r>
          </w:p>
        </w:tc>
        <w:tc>
          <w:tcPr>
            <w:tcW w:w="58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总建筑面积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生均建筑面积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新建（m2）</w:t>
            </w:r>
          </w:p>
        </w:tc>
        <w:tc>
          <w:tcPr>
            <w:tcW w:w="54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改扩建（m2）</w:t>
            </w:r>
          </w:p>
        </w:tc>
        <w:tc>
          <w:tcPr>
            <w:tcW w:w="64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新建（m2）</w:t>
            </w:r>
          </w:p>
        </w:tc>
        <w:tc>
          <w:tcPr>
            <w:tcW w:w="54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改扩建（m2）</w:t>
            </w:r>
          </w:p>
        </w:tc>
        <w:tc>
          <w:tcPr>
            <w:tcW w:w="64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新建（m2）</w:t>
            </w:r>
          </w:p>
        </w:tc>
        <w:tc>
          <w:tcPr>
            <w:tcW w:w="54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改扩建（m2）</w:t>
            </w:r>
          </w:p>
        </w:tc>
        <w:tc>
          <w:tcPr>
            <w:tcW w:w="371" w:type="dxa"/>
            <w:vMerge w:val="continue"/>
            <w:vAlign w:val="top"/>
          </w:tcPr>
          <w:p>
            <w:pPr>
              <w:spacing w:line="22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vAlign w:val="top"/>
          </w:tcPr>
          <w:p>
            <w:pPr>
              <w:spacing w:line="22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015" w:type="dxa"/>
            <w:vMerge w:val="continue"/>
            <w:vAlign w:val="top"/>
          </w:tcPr>
          <w:p>
            <w:pPr>
              <w:spacing w:line="22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471" w:type="dxa"/>
            <w:vMerge w:val="continue"/>
            <w:vAlign w:val="top"/>
          </w:tcPr>
          <w:p>
            <w:pPr>
              <w:spacing w:line="22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jc w:val="center"/>
        </w:trPr>
        <w:tc>
          <w:tcPr>
            <w:tcW w:w="2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w w:val="90"/>
                <w:sz w:val="21"/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w w:val="90"/>
                <w:sz w:val="21"/>
                <w:szCs w:val="21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Calibri"/>
                <w:w w:val="90"/>
                <w:kern w:val="0"/>
                <w:sz w:val="21"/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4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5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6</w:t>
            </w:r>
          </w:p>
        </w:tc>
        <w:tc>
          <w:tcPr>
            <w:tcW w:w="58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7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8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9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11</w:t>
            </w:r>
          </w:p>
        </w:tc>
        <w:tc>
          <w:tcPr>
            <w:tcW w:w="547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12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13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14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15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16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17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18</w:t>
            </w:r>
          </w:p>
        </w:tc>
        <w:tc>
          <w:tcPr>
            <w:tcW w:w="37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19</w:t>
            </w:r>
          </w:p>
        </w:tc>
        <w:tc>
          <w:tcPr>
            <w:tcW w:w="53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20</w:t>
            </w:r>
          </w:p>
        </w:tc>
        <w:tc>
          <w:tcPr>
            <w:tcW w:w="101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21</w:t>
            </w:r>
          </w:p>
        </w:tc>
        <w:tc>
          <w:tcPr>
            <w:tcW w:w="47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7" w:type="dxa"/>
            <w:bottom w:w="0" w:type="dxa"/>
            <w:right w:w="67" w:type="dxa"/>
          </w:tblCellMar>
        </w:tblPrEx>
        <w:trPr>
          <w:trHeight w:val="2796" w:hRule="atLeast"/>
          <w:jc w:val="center"/>
        </w:trPr>
        <w:tc>
          <w:tcPr>
            <w:tcW w:w="284" w:type="dxa"/>
            <w:vAlign w:val="top"/>
          </w:tcPr>
          <w:p>
            <w:pPr>
              <w:spacing w:line="220" w:lineRule="exact"/>
              <w:rPr>
                <w:rFonts w:ascii="宋体" w:hAnsi="宋体" w:eastAsia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w w:val="90"/>
                <w:sz w:val="21"/>
                <w:szCs w:val="21"/>
              </w:rPr>
              <w:t>1</w:t>
            </w:r>
          </w:p>
        </w:tc>
        <w:tc>
          <w:tcPr>
            <w:tcW w:w="283" w:type="dxa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湖南理工职业技术学院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ascii="宋体" w:hAnsi="宋体" w:eastAsia="宋体" w:cs="仿宋_GB2312"/>
                <w:sz w:val="18"/>
                <w:szCs w:val="21"/>
              </w:rPr>
              <w:t>134318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hint="eastAsia" w:ascii="宋体" w:hAnsi="宋体" w:eastAsia="宋体" w:cs="仿宋_GB2312"/>
                <w:sz w:val="18"/>
                <w:szCs w:val="21"/>
              </w:rPr>
              <w:t>5194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ascii="宋体" w:hAnsi="宋体" w:eastAsia="宋体" w:cs="仿宋_GB2312"/>
                <w:sz w:val="18"/>
                <w:szCs w:val="21"/>
              </w:rPr>
              <w:t>50426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ascii="宋体" w:hAnsi="宋体" w:eastAsia="宋体" w:cs="仿宋_GB2312"/>
                <w:sz w:val="18"/>
                <w:szCs w:val="21"/>
              </w:rPr>
              <w:t>13.58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ascii="宋体" w:hAnsi="宋体" w:eastAsia="宋体" w:cs="仿宋_GB2312"/>
                <w:sz w:val="18"/>
                <w:szCs w:val="21"/>
              </w:rPr>
              <w:t>37621.6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ascii="宋体" w:hAnsi="宋体" w:eastAsia="宋体" w:cs="仿宋_GB2312"/>
                <w:sz w:val="18"/>
                <w:szCs w:val="21"/>
              </w:rPr>
              <w:t>10.13</w:t>
            </w:r>
          </w:p>
        </w:tc>
        <w:tc>
          <w:tcPr>
            <w:tcW w:w="584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ascii="宋体" w:hAnsi="宋体" w:eastAsia="宋体" w:cs="仿宋_GB2312"/>
                <w:sz w:val="18"/>
                <w:szCs w:val="21"/>
              </w:rPr>
              <w:t>35861</w:t>
            </w:r>
          </w:p>
        </w:tc>
        <w:tc>
          <w:tcPr>
            <w:tcW w:w="48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ascii="宋体" w:hAnsi="宋体" w:eastAsia="宋体" w:cs="仿宋_GB2312"/>
                <w:sz w:val="18"/>
                <w:szCs w:val="21"/>
              </w:rPr>
              <w:t>9.66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ascii="宋体" w:hAnsi="宋体" w:eastAsia="宋体" w:cs="仿宋_GB2312"/>
                <w:sz w:val="18"/>
                <w:szCs w:val="21"/>
              </w:rPr>
              <w:t>94.76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ascii="宋体" w:hAnsi="宋体" w:eastAsia="宋体" w:cs="仿宋_GB2312"/>
                <w:sz w:val="18"/>
                <w:szCs w:val="21"/>
              </w:rPr>
              <w:t>87.7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ascii="宋体" w:hAnsi="宋体" w:eastAsia="宋体" w:cs="仿宋_GB2312"/>
                <w:sz w:val="18"/>
                <w:szCs w:val="21"/>
              </w:rPr>
              <w:t>80.08</w:t>
            </w:r>
          </w:p>
        </w:tc>
        <w:tc>
          <w:tcPr>
            <w:tcW w:w="547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ascii="宋体" w:hAnsi="宋体" w:eastAsia="宋体" w:cs="仿宋_GB2312"/>
                <w:sz w:val="18"/>
                <w:szCs w:val="21"/>
              </w:rPr>
              <w:t>5000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hint="eastAsia" w:ascii="宋体" w:hAnsi="宋体" w:eastAsia="宋体" w:cs="仿宋_GB2312"/>
                <w:sz w:val="18"/>
                <w:szCs w:val="21"/>
              </w:rPr>
              <w:t>7674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hint="eastAsia" w:ascii="宋体" w:hAnsi="宋体" w:eastAsia="宋体" w:cs="仿宋_GB2312"/>
                <w:sz w:val="18"/>
                <w:szCs w:val="21"/>
              </w:rPr>
              <w:t>1100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hint="eastAsia" w:ascii="宋体" w:hAnsi="宋体" w:eastAsia="宋体" w:cs="仿宋_GB2312"/>
                <w:sz w:val="18"/>
                <w:szCs w:val="21"/>
              </w:rPr>
              <w:t>36885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hint="eastAsia" w:ascii="宋体" w:hAnsi="宋体" w:eastAsia="宋体" w:cs="仿宋_GB2312"/>
                <w:sz w:val="18"/>
                <w:szCs w:val="21"/>
              </w:rPr>
              <w:t>2165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hint="eastAsia" w:ascii="宋体" w:hAnsi="宋体" w:eastAsia="宋体" w:cs="仿宋_GB2312"/>
                <w:sz w:val="18"/>
                <w:szCs w:val="21"/>
              </w:rPr>
              <w:t>28270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20" w:lineRule="exact"/>
              <w:rPr>
                <w:rFonts w:ascii="宋体" w:hAnsi="宋体" w:eastAsia="宋体" w:cs="仿宋_GB2312"/>
                <w:sz w:val="18"/>
                <w:szCs w:val="21"/>
              </w:rPr>
            </w:pPr>
            <w:r>
              <w:rPr>
                <w:rFonts w:hint="eastAsia" w:ascii="宋体" w:hAnsi="宋体" w:eastAsia="宋体" w:cs="仿宋_GB2312"/>
                <w:sz w:val="18"/>
                <w:szCs w:val="21"/>
              </w:rPr>
              <w:t>5070</w:t>
            </w:r>
          </w:p>
        </w:tc>
        <w:tc>
          <w:tcPr>
            <w:tcW w:w="37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33126万元</w:t>
            </w:r>
          </w:p>
        </w:tc>
        <w:tc>
          <w:tcPr>
            <w:tcW w:w="53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1、办学收入；2、贷款；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3、财政支持。</w:t>
            </w:r>
          </w:p>
        </w:tc>
        <w:tc>
          <w:tcPr>
            <w:tcW w:w="101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3589.93</w:t>
            </w:r>
          </w:p>
        </w:tc>
        <w:tc>
          <w:tcPr>
            <w:tcW w:w="471" w:type="dxa"/>
            <w:vAlign w:val="top"/>
          </w:tcPr>
          <w:p>
            <w:pPr>
              <w:spacing w:line="22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优先考虑就近扩征，整体搬迁为备选方案</w:t>
            </w:r>
          </w:p>
        </w:tc>
      </w:tr>
    </w:tbl>
    <w:p>
      <w:pPr>
        <w:spacing w:line="280" w:lineRule="exact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注：1﹒现状情况数据截至2014年底；2﹒“教学用房”不含实验室、实习场所面积；3﹒“实验实训用房”指校内实验室、实习场所面积；</w:t>
      </w:r>
    </w:p>
    <w:p>
      <w:pPr>
        <w:spacing w:line="280" w:lineRule="exact"/>
        <w:ind w:firstLine="42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 w:val="21"/>
          <w:szCs w:val="21"/>
        </w:rPr>
        <w:t>4﹒22项请注明是扩征土地还是整体搬迁</w:t>
      </w:r>
    </w:p>
    <w:p>
      <w:pPr>
        <w:adjustRightInd w:val="0"/>
        <w:snapToGrid w:val="0"/>
        <w:spacing w:line="240" w:lineRule="exact"/>
        <w:jc w:val="left"/>
        <w:outlineLvl w:val="0"/>
        <w:rPr>
          <w:rFonts w:hint="eastAsia"/>
        </w:rPr>
      </w:pPr>
    </w:p>
    <w:p>
      <w:bookmarkStart w:id="24" w:name="_GoBack"/>
      <w:bookmarkEnd w:id="24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2098" w:bottom="1361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  <w:rFonts w:ascii="宋体" w:hAnsi="宋体" w:eastAsia="宋体"/>
        <w:b w:val="0"/>
        <w:sz w:val="28"/>
        <w:szCs w:val="28"/>
      </w:rPr>
    </w:pPr>
    <w:r>
      <w:rPr>
        <w:rFonts w:ascii="宋体" w:hAnsi="宋体"/>
        <w:b/>
        <w:sz w:val="28"/>
        <w:szCs w:val="28"/>
      </w:rPr>
      <w:fldChar w:fldCharType="begin"/>
    </w:r>
    <w:r>
      <w:rPr>
        <w:rStyle w:val="5"/>
        <w:rFonts w:ascii="宋体" w:hAnsi="宋体" w:eastAsia="宋体"/>
        <w:b w:val="0"/>
        <w:sz w:val="28"/>
        <w:szCs w:val="28"/>
      </w:rPr>
      <w:instrText xml:space="preserve">PAGE 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Style w:val="5"/>
        <w:rFonts w:ascii="宋体" w:hAnsi="宋体" w:eastAsia="宋体"/>
        <w:b w:val="0"/>
        <w:sz w:val="28"/>
        <w:szCs w:val="28"/>
      </w:rPr>
      <w:t>- 49 -</w:t>
    </w:r>
    <w:r>
      <w:rPr>
        <w:rFonts w:ascii="宋体" w:hAnsi="宋体"/>
        <w:b/>
        <w:sz w:val="28"/>
        <w:szCs w:val="28"/>
      </w:rPr>
      <w:fldChar w:fldCharType="end"/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62342"/>
    <w:rsid w:val="19F623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  <w:rPr>
      <w:rFonts w:ascii="Times New Roman" w:hAnsi="Times New Roman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2016-11-04T03:29:00Z</dcterms:created>
  <dc:creator>Administrator</dc:creator>
  <cp:lastModifiedBy>Administrator</cp:lastModifiedBy>
  <dcterms:modified xsi:type="dcterms:W3CDTF">2016-11-04T03:30:20Z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